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the rewritten business process narrative:</w:t>
      </w:r>
    </w:p>
    <w:p/>
    <w:p>
      <w:r>
        <w:t>Our pricing review involves evaluating a submitted product to determine if it requires automatic external code (ECC) assignment.</w:t>
      </w:r>
    </w:p>
    <w:p/>
    <w:p>
      <w:r>
        <w:t>The process starts by retrieving all sales transactions associated with the product during the last twelve months. This is crucial information as it provides insights into how the product has performed across different customer segments, helping us identify patterns that may influence future pricing decisions. For instance, we can analyze the average revenue generated per region or track changes in demand over time. By examining these historical sales data points, we can make informed decisions about how to adjust our pricing strategies moving forward.</w:t>
      </w:r>
    </w:p>
    <w:p/>
    <w:p>
      <w:r>
        <w:t>Once we have retrieved all relevant transactions, the records are grouped by customer segment. Each segment is evaluated independently so that performance metrics can be calculated without mixing results from unrelated customer groups. This ensures that we're comparing apples to apples and accurately assessing the product's performance in different regions or among specific customer demographics.</w:t>
      </w:r>
    </w:p>
    <w:p/>
    <w:p>
      <w:r>
        <w:t>Next, we need to assess whether an ECC assignment has already been made for the part number referenced in the request. To do this, we identify the internal pricing admin owner record associated with the owner code received in the request. Since ECC mappings are maintained using the internal owner identifier rather than the owner code itself, the owner information must be resolved before any mapping activity can occur.</w:t>
      </w:r>
    </w:p>
    <w:p/>
    <w:p>
      <w:r>
        <w:t>After resolving the owner information, we attempt to locate an ECC mapping that exactly matches both the supplied name and the resolved pricing admin owner. This is considered the most reliable source of ECC information because it represents a mapping specifically maintained for that owner and name combination. By comparing this mapped data against the requested part number, we can determine if an ECC value has already been assigned.</w:t>
      </w:r>
    </w:p>
    <w:p/>
    <w:p>
      <w:r>
        <w:t>Now, let's consider how we handle cases where there are multiple potential mappings. In such instances, we need to evaluate which one is most relevant or should be used as a reference point for our pricing review. To achieve this, we may perform additional analysis using the supplied name alone or in combination with other relevant factors.</w:t>
      </w:r>
    </w:p>
    <w:p/>
    <w:p>
      <w:r>
        <w:t>If exactly one mapping record is found and contains an ECC value that has been assigned, we update the target part record using that ECC value. This means that the part number referenced in the request now carries an external code assigned by the supplier, which can help us better understand its market worth or value-add to our customers.</w:t>
      </w:r>
    </w:p>
    <w:p/>
    <w:p>
      <w:r>
        <w:t>On the other hand, if no mapping record is found or if multiple records return a populated ECC value with no clear match for the requested part number, we cannot proceed without further information. In these situations, processing stops as there isn't sufficient data to make an informed pricing decision.</w:t>
      </w:r>
    </w:p>
    <w:p/>
    <w:p>
      <w:r>
        <w:t>Another scenario involves when the name-based search returns exactly one record but the ECC value is not populated. In this case, we still cannot determine a valid ECC and must stop our analysis for that part number without updating it with any external code information.</w:t>
      </w:r>
    </w:p>
    <w:p/>
    <w:p>
      <w:r>
        <w:t>In contrast, if the primary mapping does contain a populated ECC value for the requested part number, we can confidently update the part record. This ensures consistency across all relevant data points, making it easier to compare prices or assess market competitiveness.</w:t>
      </w:r>
    </w:p>
    <w:p/>
    <w:p>
      <w:r>
        <w:t>When neither search produces a usable ECC mapping – meaning that no valid assignment exists or multiple candidates are present but unclear which one should be used - a new cross-reference record is created instead. The resulting record contains the supplied name, the resolved pricing admin owner identifier, and a null ECC value. This placeholder acts as an indicator signifying that ECC assignment remains pending future maintenance.</w:t>
      </w:r>
    </w:p>
    <w:p/>
    <w:p>
      <w:r>
        <w:t>To ensure that we don't forget about these unresolved mappings, our monitoring process runs on a weekly basis. On each week's run, it retrieves all cross-reference records where ECC remains unassigned. For every unresolved mapping found during this analysis, the system generates alert emails to notify us manually of the requirement for completion. By providing clear guidance on what needs attention next, these alerts enable effective follow-up actions so our databases stay updated going forward.</w:t>
      </w:r>
    </w:p>
    <w:p/>
    <w:p>
      <w:r>
        <w:t>To keep track of progress across multiple requests and handle different ECC assignments efficiently, we maintain records for every step taken during this process. These logs are updated as needed and shared with relevant stakeholders to ensure everyone has a clear understanding of how pricing decisions were reached based on submitted product data points.</w:t>
      </w:r>
    </w:p>
    <w:p/>
    <w:p>
      <w:r>
        <w:t>Finally, once our analysis is complete and all relevant information is in place, processing stops as there's nothing left to calculate or determine about the requested part number. However, we remain committed to providing accurate and timely ECC assignments whenever possible, recognizing the value such additional data brings for better price evaluations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