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rewritten business process narrative:</w:t>
      </w:r>
    </w:p>
    <w:p/>
    <w:p>
      <w:r>
        <w:t>A pricing review is required for the submitted product.</w:t>
      </w:r>
    </w:p>
    <w:p/>
    <w:p>
      <w:r>
        <w:t>The process begins by retrieving all sales transactions associated with the product during the last twelve months. This data source is crucial because it provides a comprehensive view of how the product has performed across different customer segments, allowing us to identify patterns that may influence future pricing decisions. By analyzing this data, we can gain valuable insights into revenue trends, profit margins, and market performance.</w:t>
      </w:r>
    </w:p>
    <w:p/>
    <w:p>
      <w:r>
        <w:t>Once the transactions have been retrieved, the records are grouped by customer segment. Each segment is evaluated independently so that performance metrics can be calculated without mixing results from unrelated customer groups. This ensures that our analysis remains focused on each specific segment, providing a clear picture of its strengths and weaknesses.</w:t>
      </w:r>
    </w:p>
    <w:p/>
    <w:p>
      <w:r>
        <w:t>Next, we evaluate the performance metrics for each customer segment. We calculate various key performance indicators (KPIs) such as revenue growth rate, profit margin percentage, and customer retention rate. These KPIs are calculated using specific formulas that take into account various transactional data points, including sales volume, prices, and discounts.</w:t>
      </w:r>
    </w:p>
    <w:p/>
    <w:p>
      <w:r>
        <w:t>After evaluating the performance metrics, we identify areas of improvement for each segment. Based on these findings, we determine whether a pricing review is required for the product in question. If a review is deemed necessary, we proceed to the next step in the process.</w:t>
      </w:r>
    </w:p>
    <w:p/>
    <w:p>
      <w:r>
        <w:t>The system then retrieves all internal pricing admin owner records associated with the approved owner code received in the request. Since ECC mappings are maintained using the internal owner identifier rather than the owner code itself, the owner information must first be resolved before any mapping activity can occur.</w:t>
      </w:r>
    </w:p>
    <w:p/>
    <w:p>
      <w:r>
        <w:t>Once the pricing admin owner has been resolved, the system attempts to locate an ECC mapping that exactly matches both the supplied name and the resolved pricing admin owner. This is considered the most reliable source of ECC information because it represents a mapping specifically maintained for that owner and name combination.</w:t>
      </w:r>
    </w:p>
    <w:p/>
    <w:p>
      <w:r>
        <w:t>If this search produces exactly one mapping record, the mapping is examined to determine whether an ECC value has already been assigned. When a populated ECC value is found, the target part record referenced in the request is updated using that ECC value. The ECC assignment process is considered complete at this point, and no additional lookups are required.</w:t>
      </w:r>
    </w:p>
    <w:p/>
    <w:p>
      <w:r>
        <w:t>If exactly one mapping record is found but the ECC value has not yet been assigned, the system cannot determine a valid ECC and processing ends without performing any update. In other words, there is no way to proceed with the pricing review without an available ECC value.</w:t>
      </w:r>
    </w:p>
    <w:p/>
    <w:p>
      <w:r>
        <w:t>Next, we examine the ECC mapping record retrieved in the previous step. If it contains a populated ECC value, we verify that this value aligns with our company's pricing policies and guidelines. This ensures that the part product is accurately priced based on its market value.</w:t>
      </w:r>
    </w:p>
    <w:p/>
    <w:p>
      <w:r>
        <w:t>When the ECC assignment process is complete, the system generates an updated report summarizing the results of the review. This report provides valuable insights into the performance metrics for each customer segment, as well as any recommended price adjustments or other changes to the part product.</w:t>
      </w:r>
    </w:p>
    <w:p/>
    <w:p>
      <w:r>
        <w:t>A separate monitoring process runs on a weekly basis. This process retrieves all cross-reference records where ECC remains unassigned. For each unresolved mapping, an alert email is generated indicating that manual ECC assignment is required. The notification includes the relevant name and owner information so that the mapping can be reviewed and completed.</w:t>
      </w:r>
    </w:p>
    <w:p/>
    <w:p>
      <w:r>
        <w:t>Overall, this pricing review process ensures that our part products are accurately priced based on their market value and performance metrics, while also maintaining compliance with company policies and guidelines. By following these steps, we can ensure that our customers receive high-quality products at competitive prices.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