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process begins by receiving a package of product information along with associated sales transactions. The purpose of this initial step is to understand the overall performance of the product across various customer segments.</w:t>
      </w:r>
    </w:p>
    <w:p/>
    <w:p>
      <w:r>
        <w:t>Once we receive this data, our system retrieves all relevant sales transactions from the last twelve months that are associated with the product in question. These transactions provide us with valuable insights into how the product has performed and identify patterns that may influence future pricing decisions. The goal is to analyze these historical data points to make informed pricing recommendations.</w:t>
      </w:r>
    </w:p>
    <w:p/>
    <w:p>
      <w:r>
        <w:t>Following the retrieval of these sales transactions, our system groups them by customer segment. This grouping allows us to evaluate each segment independently without mixing results from unrelated customer groups. By doing so, we can accurately calculate performance metrics for each segment and identify trends that may impact future pricing strategies.</w:t>
      </w:r>
    </w:p>
    <w:p/>
    <w:p>
      <w:r>
        <w:t>The next step is to iterate through each group of customer segments. Within this iteration, our system evaluates each transaction recorded in the segment independently using a set of predefined criteria. These criteria are used to categorize transactions based on specific thresholds such as quantity sold or revenue generated within a certain period. Our calculations ensure that these evaluations adhere strictly to pre-defined conditions and thresholds for accurate decision-making.</w:t>
      </w:r>
    </w:p>
    <w:p/>
    <w:p>
      <w:r>
        <w:t>Based on the evaluation, we then determine if a mapping exists between our product's name and its equivalent value in an external database known as ECC (Economic Classification). ECC provides unique identifiers for products across various suppliers, allowing us to standardize pricing information across different systems. We utilize these mappings to enhance data integrity while ensuring that all values are consistent with industry standards.</w:t>
      </w:r>
    </w:p>
    <w:p/>
    <w:p>
      <w:r>
        <w:t>We first attempt to locate an existing mapping for our product based on both its internal identifier and the provided name of the pricing admin owner. If only one matching record is found, we proceed to copy the associated ECC value into the part record. This ensures that when the data needs to be updated or accessed, it is retrieved in a consistent manner.</w:t>
      </w:r>
    </w:p>
    <w:p/>
    <w:p>
      <w:r>
        <w:t>If no single mapping is identified using this first approach but a match still occurs during a broader search based on just the name, we accept this mapping as well and replicate its corresponding ECC value into our system. However, if multiple mappings are discovered in both scenarios without an identifiable unique identifier for our product, we do not proceed further with any of these options.</w:t>
      </w:r>
    </w:p>
    <w:p/>
    <w:p>
      <w:r>
        <w:t>Our primary objective is to ensure data consistency while leveraging available information from external sources where possible. In situations where such data is unavailable or inconsistent within our internal structure, we create a new Part Noun Name ECC cross-reference record that includes the provided name, the resolved pricing admin owner's ID, and a null ECC value.</w:t>
      </w:r>
    </w:p>
    <w:p/>
    <w:p>
      <w:r>
        <w:t>This process continues for each segment until all customer groups have been evaluated and analyzed accordingly. Upon completion of this phase, we move on to calculating the adjusted pricing according to our established formula. This calculation takes into consideration factors such as historical data performance, market conditions, and industry benchmarks to determine the optimal price for the product in question.</w:t>
      </w:r>
    </w:p>
    <w:p/>
    <w:p>
      <w:r>
        <w:t>The output from these calculations then serves as input to our next step: triggering an external service known as ECC. This service is responsible for providing real-time access to up-to-date pricing information across multiple suppliers.</w:t>
      </w:r>
    </w:p>
    <w:p/>
    <w:p>
      <w:r>
        <w:t>Once we initiate this trigger, our system waits for the response containing updated ECC values. The ECC response contains a mapping between product names and their corresponding identifiers in the external database. It also carries any applicable conditions or thresholds that could influence pricing decisions.</w:t>
      </w:r>
    </w:p>
    <w:p/>
    <w:p>
      <w:r>
        <w:t>The final step is to update our internal records based on the received ECC data. This includes copying relevant information from the ECC response into our part record, adjusting prices according to our formula, and possibly updating additional related fields if necessary.</w:t>
      </w:r>
    </w:p>
    <w:p/>
    <w:p>
      <w:r>
        <w:t>Our process concludes here, having successfully updated records with the most current pricing data while maintaining integrity throughout all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