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updating pricing information begins by receiving a part record along with its associated pricing admin owner and name information. The purpose of this step is to gather necessary data that will be used to update the pricing records accurately.</w:t>
      </w:r>
    </w:p>
    <w:p/>
    <w:p>
      <w:r>
        <w:t>Upon receiving the new record, the system's internal identifier for the pricing admin owner needs to be resolved. This resolution process involves looking up the admin owner's ID in a database or an external system. Once the internal identifier has been located, it is then used to search for existing ECC mappings that match both the identified admin owner and supplied name.</w:t>
      </w:r>
    </w:p>
    <w:p/>
    <w:p>
      <w:r>
        <w:t>One of the key purposes of this step is to ensure consistency across different systems by leveraging pre-existing mappings between ECC values and part records' name fields. If exactly one matching mapping can be found using the resolved admin owner ID along with the provided name, then the system will attempt to copy the available ECC value from the mapping into the part record.</w:t>
      </w:r>
    </w:p>
    <w:p/>
    <w:p>
      <w:r>
        <w:t>In the event that no single matching mapping is discovered during this process, or if multiple mappings exist, a broader search is conducted solely based on the supplied name. The objective of this step is to identify any possible ECC values associated with the given name and update them accordingly in the existing records.</w:t>
      </w:r>
    </w:p>
    <w:p/>
    <w:p>
      <w:r>
        <w:t>After performing these steps, it becomes essential to review the performance metrics for each customer segment where data was retrieved from the sales transactions during the last 12 months. Each unique customer segment is evaluated independently so that its performance can be assessed correctly without mixing up results obtained from unrelated groups.</w:t>
      </w:r>
    </w:p>
    <w:p/>
    <w:p>
      <w:r>
        <w:t>For instance, if the goal is to understand how a specific product performed in terms of profitability or customer satisfaction amongst particular customer segments, it would be crucial to separately evaluate each group and calculate relevant metrics such as average revenue per unit sold, customer retention rates, or overall satisfaction levels. This approach allows the system to accurately track performance trends across different segments and make informed decisions regarding future pricing adjustments.</w:t>
      </w:r>
    </w:p>
    <w:p/>
    <w:p>
      <w:r>
        <w:t>This process is continuously refined through feedback from various stakeholders including sales teams, product managers, and other key decision-makers who provide valuable insights into market conditions and changing business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