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process begins by receiving a request for an alternative version of the same requirements. This information is crucial in understanding the purpose behind the request and ensuring that the required changes are accurately captured.</w:t>
      </w:r>
    </w:p>
    <w:p/>
    <w:p>
      <w:r>
        <w:t>Upon receipt of this information, the system retrieves all relevant records associated with the current pricing configuration. The primary objective of this step is to gather data necessary for the evaluation process, including any applicable calculations, thresholds, or conditions.</w:t>
      </w:r>
    </w:p>
    <w:p/>
    <w:p>
      <w:r>
        <w:t>Once the relevant records have been retrieved, the system evaluates each record against a set of pre-defined conditions. This process ensures that only qualifying records are processed and allows for efficient management of the volume of data involved.</w:t>
      </w:r>
    </w:p>
    <w:p/>
    <w:p>
      <w:r>
        <w:t>The first condition evaluated is the threshold value associated with the current pricing configuration. If this value is exceeded, the corresponding calculations are performed to determine the new pricing amount.</w:t>
      </w:r>
    </w:p>
    <w:p/>
    <w:p>
      <w:r>
        <w:t>During the calculation phase, the system applies a series of mathematical operations to arrive at the final pricing value. This may involve multiplying or dividing the base price by a factor, adding or subtracting a percentage or fixed amount, and so on. The specific calculations employed depend on the type of product being priced and the applicable pricing rules.</w:t>
      </w:r>
    </w:p>
    <w:p/>
    <w:p>
      <w:r>
        <w:t>The next condition evaluated is the decision path associated with the current pricing configuration. Based on the result of the calculation phase, the system navigates through a predetermined set of decisions to determine the final pricing outcome. This may involve selecting from a list of predefined options or applying additional calculations based on specific conditions.</w:t>
      </w:r>
    </w:p>
    <w:p/>
    <w:p>
      <w:r>
        <w:t>Upon completion of the decision path, the system updates the relevant records to reflect the new pricing configuration. This includes updating the pricing amount, any applicable tables, and other related data as necessary. The update operation is critical in ensuring that all stakeholders have access to the latest pricing information.</w:t>
      </w:r>
    </w:p>
    <w:p/>
    <w:p>
      <w:r>
        <w:t>Throughout this process, the system maintains a record of all changes made to the pricing configuration. This enables the tracking of updates and facilitates auditing or reporting purposes.</w:t>
      </w:r>
    </w:p>
    <w:p/>
    <w:p>
      <w:r>
        <w:t>Once the update operation has been completed, the system evaluates whether any additional services need to be invoked as a result of the changes. This may involve triggering notifications to stakeholders or updating relevant business processes.</w:t>
      </w:r>
    </w:p>
    <w:p/>
    <w:p>
      <w:r>
        <w:t>Upon completion of these steps, the processing stops, and the alternative version of the same requirements is effectively implemented. The new pricing configuration is now available for use by all stakeholders involved in the product's lifecycle.</w:t>
      </w:r>
    </w:p>
    <w:p/>
    <w:p>
      <w:r>
        <w:t>In subsequent iterations of this process, the system will continue to monitor the usage of the new pricing configuration and make adjustments as necessary to ensure that it remains optimal for the target market. This may involve repeating the entire process or making targeted updates to specific records based on changes in market conditions or other factors.</w:t>
      </w:r>
    </w:p>
    <w:p/>
    <w:p>
      <w:r>
        <w:t>Throughout this process, the system maintains a tight focus on preserving all original logic, entities, field names, calculations, thresholds, and update operations exactly as specified in the original requirements. The goal is to ensure that the new pricing configuration accurately reflects the business intentions while minimizing disruption to existing processes and stakeholders.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