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detailed business process narrative that meets the specified requirements:</w:t>
      </w:r>
    </w:p>
    <w:p/>
    <w:p>
      <w:r>
        <w:t>We need to create alternative versions of existing pricing rules while preserving all original logic exactly. This process involves evaluating records based on specific conditions and performing calculations to determine updates or inserts.</w:t>
      </w:r>
    </w:p>
    <w:p/>
    <w:p>
      <w:r>
        <w:t>First, we retrieve sales transactions associated with the product during the last twelve months. The purpose of retrieving these transactions is to understand how the product has performed across different customer segments and to identify patterns that may influence future pricing decisions. These transactions are retrieved from a database based on the date range specified in the requirements.</w:t>
      </w:r>
    </w:p>
    <w:p/>
    <w:p>
      <w:r>
        <w:t>Once the transactions have been retrieved, we group them by customer segment. Each segment is evaluated independently so that performance metrics can be calculated without mixing results from unrelated customer groups. We use a specific field in the transaction records to determine the customer segment, and then we sort the records accordingly.</w:t>
      </w:r>
    </w:p>
    <w:p/>
    <w:p>
      <w:r>
        <w:t>Next, we look for cross-reference entries (ECC) in our database that match both the product name and the pricing admin owner record associated with each transaction. The purpose of this step is to see if there are any pre-existing mappings between the product and the price schedule that can be used to determine the ECC.</w:t>
      </w:r>
    </w:p>
    <w:p/>
    <w:p>
      <w:r>
        <w:t>If a valid ECC mapping exists, we update the part accordingly based on the rules specified in the requirements. We look for mappings where both the name and the pricing admin owner match exactly, as these represent the most accurate relationships. If multiple mappings exist with matching names but different pricing admin owners, we stop processing because we cannot determine the correct ECC.</w:t>
      </w:r>
    </w:p>
    <w:p/>
    <w:p>
      <w:r>
        <w:t>However, if an exact match is not found, we still look for mappings that share a common name. These may represent related products or variations, and we can use this information to make an educated guess about the correct ECC. If exactly one valid mapping exists with a matching name, we update the part using the corresponding price schedule.</w:t>
      </w:r>
    </w:p>
    <w:p/>
    <w:p>
      <w:r>
        <w:t>If no valid mappings exist, we insert a new ECC cross-reference entry into our database with the product name left blank for the pricing admin owner field. This allows us to create a new relationship between the product and the price schedule without relying on an existing mapping.</w:t>
      </w:r>
    </w:p>
    <w:p/>
    <w:p>
      <w:r>
        <w:t>In some cases, we may need to perform additional calculations or checks based on specific conditions specified in the requirements. For example, if the calculation involves multiple fields or thresholds, we use specific logic to evaluate these factors and determine the final result.</w:t>
      </w:r>
    </w:p>
    <w:p/>
    <w:p>
      <w:r>
        <w:t>Once we have completed the necessary evaluations and calculations, we update or insert records into our database as required by the rules. This step is critical because it ensures that all changes are accurately reflected in our pricing system.</w:t>
      </w:r>
    </w:p>
    <w:p/>
    <w:p>
      <w:r>
        <w:t>When updates occur, we trigger a service invocation to notify relevant stakeholders of any changes made to the product or price schedule. This may include sending notifications to customers, suppliers, or other internal teams, depending on the requirements specified in the rules.</w:t>
      </w:r>
    </w:p>
    <w:p/>
    <w:p>
      <w:r>
        <w:t>The process stops once we have completed all necessary evaluations and calculations for a given set of transactions. We review the results to ensure that they meet the requirements outlined in the business rules, and if everything is correct, we consider the processing complete.</w:t>
      </w:r>
    </w:p>
    <w:p/>
    <w:p>
      <w:r>
        <w:t>However, there may be situations where additional services need to be invoked based on specific conditions or thresholds. For example, if the calculation involves a specific threshold value, we may need to invoke another service to determine whether the threshold has been met. This ensures that our pricing system remains accurate and up-to-date, even in complex scenarios.</w:t>
      </w:r>
    </w:p>
    <w:p/>
    <w:p>
      <w:r>
        <w:t>Overall, this process is designed to preserve all original logic exactly while creating alternative versions of existing pricing rules. By carefully evaluating records, performing calculations, and updating or inserting data into our database as required, we can ensure that our pricing system remains accurate and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