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Begin processing for pricing review.</w:t>
      </w:r>
    </w:p>
    <w:p/>
    <w:p>
      <w:r>
        <w:t>First, retrieve all sales transactions associated with Product X (the product in question) during the last twelve months. This step retrieves relevant data on how the product has performed across various customer segments. The purpose of this step is to understand performance metrics and identify patterns that may influence future pricing decisions.</w:t>
      </w:r>
    </w:p>
    <w:p/>
    <w:p>
      <w:r>
        <w:t>To retrieve these transactions efficiently, use a SQL query that filters by the product's ID (ProductID), start date (StartDate), and end date (EndDate). Ensure the query also includes any necessary parameters to avoid incomplete data.</w:t>
      </w:r>
    </w:p>
    <w:p/>
    <w:p>
      <w:r>
        <w:t>Once the transactions are retrieved, group them by customer segment. This step is crucial as it allows for separate analysis of each segment without mixing results from unrelated customer groups. A grouping method can be applied here such as using a CustomerSegmentID or another appropriate identifier that uniquely identifies segments within the dataset.</w:t>
      </w:r>
    </w:p>
    <w:p/>
    <w:p>
      <w:r>
        <w:t>Next, evaluate each record in the grouped datasets independently. For every transaction group, perform an evaluation based on certain conditions related to pricing and ECC (Enterprise Central Component) mapping updates.</w:t>
      </w:r>
    </w:p>
    <w:p/>
    <w:p>
      <w:r>
        <w:t>To start this process, search for both name-based mappings and the pricing admin owner's information using these identifiers. Use two Priority levels:</w:t>
      </w:r>
    </w:p>
    <w:p>
      <w:r>
        <w:t>- For Priority 1: Include both name-based searches.</w:t>
      </w:r>
    </w:p>
    <w:p>
      <w:r>
        <w:t>- For Priority 2: Only include a name-based search.</w:t>
      </w:r>
    </w:p>
    <w:p/>
    <w:p>
      <w:r>
        <w:t>If either of these searches produces exactly one mapping that contains an ECC value associated with Product X, proceed to update the transaction record accordingly.</w:t>
      </w:r>
    </w:p>
    <w:p/>
    <w:p>
      <w:r>
        <w:t>Update logic needs to be considered here - specifically how multiple mappings with the same product but different admin owners or names should affect outcomes. If a single mapping is found during both searches but different admin owners are involved (i.e., two different admins have access levels for the same Product X), then no update should occur for that particular transaction.</w:t>
      </w:r>
    </w:p>
    <w:p/>
    <w:p>
      <w:r>
        <w:t>On the other hand, if multiple name-based mappings exist and share the same ECC value but belong to different admins or product types entirely, then again a no-action outcome applies.</w:t>
      </w:r>
    </w:p>
    <w:p/>
    <w:p>
      <w:r>
        <w:t>Conversely, when neither of these search strategies yields an exact matching mapping, proceed with another step: recording a new unresolved ECC mapping. This means adding a record that signifies there is no clear connection between Product X and the identified admin owner during the specific timeframe considered in this pricing review.</w:t>
      </w:r>
    </w:p>
    <w:p/>
    <w:p>
      <w:r>
        <w:t>Lastly, after processing all transactions related to Product X, stop this process to complete its execution.</w:t>
      </w:r>
    </w:p>
    <w:p/>
    <w:p>
      <w:r>
        <w:t>No other services should be invoked at this point as all necessary calculations and updates have been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