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business process narrative:</w:t>
      </w:r>
    </w:p>
    <w:p/>
    <w:p>
      <w:r>
        <w:t>To initiate a pricing review for a submitted product, we will follow these steps to ensure accurate and reliable results.</w:t>
      </w:r>
    </w:p>
    <w:p/>
    <w:p>
      <w:r>
        <w:t>First, we need to retrieve all sales transactions associated with the product during the last twelve months. This data is essential in understanding how the product has performed across different customer segments and identifying patterns that may influence future pricing decisions. The transactions are retrieved from the database using a SQL query that filters by product name, date range, and transaction type.</w:t>
      </w:r>
    </w:p>
    <w:p/>
    <w:p>
      <w:r>
        <w:t>Once we have retrieved these transactions, we will group them by customer segment to ensure consistent evaluation of performance metrics. Each segment is evaluated independently to avoid mixing results from unrelated customer groups. This grouping is based on predefined customer segments defined in the database schema.</w:t>
      </w:r>
    </w:p>
    <w:p/>
    <w:p>
      <w:r>
        <w:t>The grouped transactions are then passed through our pricing review engine for further analysis. The engine uses a set of rules and calculations to evaluate each transaction and determine its eligibility for price adjustment. These rules are based on previously established business logic, including but not limited to:</w:t>
      </w:r>
    </w:p>
    <w:p/>
    <w:p>
      <w:r>
        <w:t>* A single valid ECC (Enterprise Customer Classification) should be used for all transactions in the same customer segment.</w:t>
      </w:r>
    </w:p>
    <w:p>
      <w:r>
        <w:t>* If an ECC mapping is successful, use the associated owner record to update the target part.</w:t>
      </w:r>
    </w:p>
    <w:p>
      <w:r>
        <w:t>* If an ECC mapping fails, perform a lookup using name only.</w:t>
      </w:r>
    </w:p>
    <w:p>
      <w:r>
        <w:t>* If multiple candidates are found, indicate uncertainty and take no action.</w:t>
      </w:r>
    </w:p>
    <w:p>
      <w:r>
        <w:t>* Absent mappings should be captured as a new unresolved cross-reference.</w:t>
      </w:r>
    </w:p>
    <w:p/>
    <w:p>
      <w:r>
        <w:t>The pricing review engine will also perform calculations based on the transactions and segment characteristics. These calculations include but are not limited to:</w:t>
      </w:r>
    </w:p>
    <w:p/>
    <w:p>
      <w:r>
        <w:t>* Calculating total revenue generated by each customer segment.</w:t>
      </w:r>
    </w:p>
    <w:p>
      <w:r>
        <w:t>* Determining the average transaction value for each segment.</w:t>
      </w:r>
    </w:p>
    <w:p>
      <w:r>
        <w:t>* Evaluating performance metrics such as profit margin, return on investment (ROI), and customer satisfaction.</w:t>
      </w:r>
    </w:p>
    <w:p/>
    <w:p>
      <w:r>
        <w:t>Once the engine has completed its analysis, it will make a decision based on predefined thresholds. These thresholds are set to ensure that only transactions that meet certain criteria are eligible for price adjustment. The thresholds include but are not limited to:</w:t>
      </w:r>
    </w:p>
    <w:p/>
    <w:p>
      <w:r>
        <w:t>* Total revenue threshold: above a certain amount.</w:t>
      </w:r>
    </w:p>
    <w:p>
      <w:r>
        <w:t>* Average transaction value threshold: above a certain amount.</w:t>
      </w:r>
    </w:p>
    <w:p>
      <w:r>
        <w:t>* Performance metric threshold: meets or exceeds a predetermined score.</w:t>
      </w:r>
    </w:p>
    <w:p/>
    <w:p>
      <w:r>
        <w:t>The decision made by the engine will then trigger an update operation in the database. This update will reflect any price adjustments made based on the results of the pricing review. The update includes but is not limited to:</w:t>
      </w:r>
    </w:p>
    <w:p/>
    <w:p>
      <w:r>
        <w:t>* Updating the transaction status to indicate price adjustment.</w:t>
      </w:r>
    </w:p>
    <w:p>
      <w:r>
        <w:t>* Updating the owner record to reflect the new ECC mapping.</w:t>
      </w:r>
    </w:p>
    <w:p>
      <w:r>
        <w:t>* Creating a new cross-reference if an absent mapping was found.</w:t>
      </w:r>
    </w:p>
    <w:p/>
    <w:p>
      <w:r>
        <w:t>Once the update has been completed, our process stops and we confirm that the pricing review has been successfully completed. However, in some cases, additional services may need to be triggered as part of the pricing review process. For example:</w:t>
      </w:r>
    </w:p>
    <w:p/>
    <w:p>
      <w:r>
        <w:t>* If a customer segment fails multiple times, triggering an automated notification to the customer.</w:t>
      </w:r>
    </w:p>
    <w:p>
      <w:r>
        <w:t>* If an ECC mapping is found for a new product, triggering a service call to request further information.</w:t>
      </w:r>
    </w:p>
    <w:p/>
    <w:p>
      <w:r>
        <w:t>In these cases, we will invoke the relevant services and follow their specific workflows to ensure that any additional actions are taken as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