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To support the pricing review process for the submitted product, we need to follow this detailed workflow.</w:t>
      </w:r>
    </w:p>
    <w:p/>
    <w:p>
      <w:r>
        <w:t>The first step in this process is to retrieve all sales transactions associated with the product during the last twelve months. The purpose of retrieving these transactions is to understand how the product has performed across different customer segments and to identify patterns that may influence future pricing decisions.</w:t>
      </w:r>
    </w:p>
    <w:p/>
    <w:p>
      <w:r>
        <w:t>For this purpose, our system will access the database and retrieve data from tables including sales transactions records. The fields retrieved include id, quantity sold, total value, date of sale, etc. We also need to identify which customers have purchased these products during the last twelve months in order to analyze customer segments and their respective performance.</w:t>
      </w:r>
    </w:p>
    <w:p/>
    <w:p>
      <w:r>
        <w:t>Once the necessary data has been retrieved, we then group these records by customer segment using distinct values from a specific field name (e.g., "CustomerSegmentName"). This is done so that each customer segment can be evaluated independently.</w:t>
      </w:r>
    </w:p>
    <w:p/>
    <w:p>
      <w:r>
        <w:t>For example, if multiple customers have purchased products in different segments, only one segment will be used for calculation purposes. The reason behind this approach is to ensure that performance metrics are calculated without mixing results from unrelated customer groups.</w:t>
      </w:r>
    </w:p>
    <w:p/>
    <w:p>
      <w:r>
        <w:t>Next, we need to analyze the sales data within each distinct group and calculate performance metrics such as average value per sale transaction, total revenue generated by each segment, etc. These calculations will help us identify trends and patterns in how customers have been interacting with our product and what strategies can be employed for future pricing decisions.</w:t>
      </w:r>
    </w:p>
    <w:p/>
    <w:p>
      <w:r>
        <w:t>We then check if there are multiple valid records associated with the product (e.g., different variations or sizes) and create a mapping between ECC (Exchange Control Card) codes and such unique identifiers.</w:t>
      </w:r>
    </w:p>
    <w:p/>
    <w:p>
      <w:r>
        <w:t>If no suitable mappings exist, we perform an additional database search to find any candidate matching information, such as name matches. After identifying a potential match, we will apply the corresponding ECC code to the product part when only one valid record is found.</w:t>
      </w:r>
    </w:p>
    <w:p/>
    <w:p>
      <w:r>
        <w:t>We then ignore certain scenarios where multiple possible candidates are available for mapping purposes.</w:t>
      </w:r>
    </w:p>
    <w:p/>
    <w:p>
      <w:r>
        <w:t>In some cases, if no suitable mappings exist or if too many options were returned in our search results, we create a new record within our internal database indicating that the ECC has been unresolved (or incomplete).</w:t>
      </w:r>
    </w:p>
    <w:p/>
    <w:p>
      <w:r>
        <w:t>The process stops here, with the information obtained from these steps providing valuable insights into customer behavior and product performance.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