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detailed business process narrative that preserves the original logic exactly:</w:t>
      </w:r>
    </w:p>
    <w:p/>
    <w:p>
      <w:r>
        <w:t>To initiate a pricing review, we receive information about a product and its requested pricing admin owner, name, and target part identifier.</w:t>
      </w:r>
    </w:p>
    <w:p/>
    <w:p>
      <w:r>
        <w:t>First, our system retrieves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Once we have retrieved these transactions, we group them by customer segment. This grouping allows us to evaluate each segment independently, ensuring that our performance metrics are calculated without mixing results from unrelated customer groups.</w:t>
      </w:r>
    </w:p>
    <w:p/>
    <w:p>
      <w:r>
        <w:t>Next, we evaluate each record in the grouped transaction set. For each record, we check if a matching mapping can be resolved using either the owner-specific lookup strategy or the name-based search strategy.</w:t>
      </w:r>
    </w:p>
    <w:p/>
    <w:p>
      <w:r>
        <w:t>If we find an exact match for both the owner and the supplied name, we use this single matching mapping as our preferred path. This represents the most specific mapping available because it directly maps the owner to the target part identifier.</w:t>
      </w:r>
    </w:p>
    <w:p/>
    <w:p>
      <w:r>
        <w:t>When a usable matching mapping with a populated ECC value is found, we update the corresponding part immediately using that ECC value. However, if we find a single matching mapping without an ECC value, we cannot use it and therefore do not perform any updates on the record.</w:t>
      </w:r>
    </w:p>
    <w:p/>
    <w:p>
      <w:r>
        <w:t>If we are unable to find an exact match using either strategy, we broaden our search criteria by attempting to find mappings using only the supplied name. We repeat this process until we find exactly one matching record with a populated ECC value or we determine that no valid mapping exists.</w:t>
      </w:r>
    </w:p>
    <w:p/>
    <w:p>
      <w:r>
        <w:t>When we find exactly one matching record and its ECC field is not empty, we update the corresponding part using that ECC value. However, if more than one record is returned from either the owner-specific search or the name-based search, we consider this result to be ambiguous, and our system refuses to perform automatic assignment.</w:t>
      </w:r>
    </w:p>
    <w:p/>
    <w:p>
      <w:r>
        <w:t>If we are unable to obtain a valid ECC value through both lookup strategies, we create a new unresolved mapping in our ECC cross-reference repository. This record stores the name and pricing admin owner but leaves the ECC field unassigned.</w:t>
      </w:r>
    </w:p>
    <w:p/>
    <w:p>
      <w:r>
        <w:t>To prevent any further updates on this record, we set a flag or marker that indicates it is an unresolved mapping waiting for manual investigation. A weekly audit process reviews all such records, and if a mapping's ECC field remains empty after being inserted into the repository, it is included in an alert notification sent to business users for additional review.</w:t>
      </w:r>
    </w:p>
    <w:p/>
    <w:p>
      <w:r>
        <w:t>The purpose of these steps is to ensure accurate pricing data by providing multiple verification paths that account for both individual part mappings and overall customer performance patterns. By identifying potential ambiguities or missing mapping data early on, we can prevent incorrect updates that could negatively impact our customers'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