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begins by receiving information about a product and its associated pricing admin owner, name, and target part identifier from the request. This data is intended to trigger a pricing review to determine the correct value for the product.</w:t>
      </w:r>
    </w:p>
    <w:p/>
    <w:p>
      <w:r>
        <w:t>First, we retrieve all sales transactions associated with the product during the last twelve months. The purpose of retrieving these transactions is to understand how the product has performed across different customer segments and to identify patterns that may influence future pricing decisions. These transactions are retrieved from our database and grouped by customer segment based on their region, country, or other relevant factors.</w:t>
      </w:r>
    </w:p>
    <w:p/>
    <w:p>
      <w:r>
        <w:t>Once the transactions have been retrieved, we evaluate each record independently within its respective customer segment group. This ensures that performance metrics can be calculated without mixing results from unrelated customer groups. We perform this evaluation to identify trends, seasonal patterns, and any unusual activity that may impact pricing decisions.</w:t>
      </w:r>
    </w:p>
    <w:p/>
    <w:p>
      <w:r>
        <w:t>Next, we search for a mapping that exactly matches both the pricing admin owner and the supplied name. This represents the preferred lookup path because it is the most specific mapping available. If a matching mapping with an ECC value exists, we update the target part immediately using that ECC value. If no matching mapping with an ECC value is found, but one without an ECC value does exist, processing stops without updating the part.</w:t>
      </w:r>
    </w:p>
    <w:p/>
    <w:p>
      <w:r>
        <w:t>If a matching record is found and the ECC value exists, we use that ECC value to update the target part. However, if more than one record is returned, we consider the result ambiguous and refuse to perform automatic assignment.</w:t>
      </w:r>
    </w:p>
    <w:p/>
    <w:p>
      <w:r>
        <w:t>Furthermore, if no valid ECC can be obtained from either lookup strategy, we insert a new unresolved mapping into the ECC cross-reference repository. The record stores the name and pricing admin owner while leaving ECC unassigned. This insertion is performed as part of our data management processes to maintain the integrity of our database and ensure that all mappings are accounted for.</w:t>
      </w:r>
    </w:p>
    <w:p/>
    <w:p>
      <w:r>
        <w:t>In addition to this process, we also trigger a weekly audit process to review all unresolved mappings. Any mapping whose ECC field remains empty after a week is included in an alert notification sent for manual investigation. The alert provides sufficient details to allow business users to complete the missing ECC assignment.</w:t>
      </w:r>
    </w:p>
    <w:p/>
    <w:p>
      <w:r>
        <w:t>The processing stops once all relevant data has been retrieved and evaluated, or when another service is triggered as part of our overall pricing process. This ensures that the information received is thoroughly examined before being used to make any changes to the product's pricing structure.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