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narrative of the business process, written as if a pricing consultant and business analyst are verbally explaining the workflow:</w:t>
      </w:r>
    </w:p>
    <w:p/>
    <w:p>
      <w:r>
        <w:t>When a new part is submitted for pricing review, all relevant information about the product must be gathered. This includes retrieving all sales transactions associated with the part during the last twelve months.</w:t>
      </w:r>
    </w:p>
    <w:p/>
    <w:p>
      <w:r>
        <w:t>The purpose of retrieving these transactions is to understand how the part has performed across different customer segments and to identify patterns that may influence future pricing decisions. By analyzing historical data, we can better determine whether the current pricing strategy is fair and competitive.</w:t>
      </w:r>
    </w:p>
    <w:p/>
    <w:p>
      <w:r>
        <w:t>Once all relevant transactions have been retrieved, they are grouped by customer segment. Each segment must be evaluated independently so that performance metrics can be calculated without mixing results from unrelated customer groups. This allows us to accurately assess how the part's sales have varied across different regions or market segments.</w:t>
      </w:r>
    </w:p>
    <w:p/>
    <w:p>
      <w:r>
        <w:t>As we process each segment, a series of calculations is performed to determine whether an update is required. The first step is to resolve the pricing admin owner's internal system identifier, which is essential for looking up existing mappings in the ECC cross-reference repository.</w:t>
      </w:r>
    </w:p>
    <w:p/>
    <w:p>
      <w:r>
        <w:t>Once the owner identifier has been determined, we search for a mapping that exactly matches both the owner and the supplied name. This represents the preferred lookup path because it is the most specific mapping available. If a single matching record is found with an ECC value populated, we can immediately update the target part's ECC value.</w:t>
      </w:r>
    </w:p>
    <w:p/>
    <w:p>
      <w:r>
        <w:t>However, if no such mapping exists or the ECC value remains empty, processing must be stopped without updating the part. We cannot update the part based on incomplete or ambiguous data, as this could compromise the accuracy of our pricing decisions.</w:t>
      </w:r>
    </w:p>
    <w:p/>
    <w:p>
      <w:r>
        <w:t>If a usable mapping is not available through the owner-specific search, we widen the search criteria and attempt to find mappings using only the supplied name. This ensures that we continue searching for an ECC value whenever possible.</w:t>
      </w:r>
    </w:p>
    <w:p/>
    <w:p>
      <w:r>
        <w:t>When exactly one matching record is found with an ECC value populated, we update the part's ECC value accordingly. We use this updated value to inform our pricing decisions moving forward.</w:t>
      </w:r>
    </w:p>
    <w:p/>
    <w:p>
      <w:r>
        <w:t>Conversely, if more than one record exists but the ECC field remains empty, we consider the result ambiguous and refuse to perform automatic assignment. This safeguard helps prevent errors that might arise from multiple conflicting mapping attempts.</w:t>
      </w:r>
    </w:p>
    <w:p/>
    <w:p>
      <w:r>
        <w:t>If no valid ECC can be obtained from either lookup strategy, a new unresolved mapping is inserted into the ECC cross-reference repository. The record stores the name and pricing admin owner while leaving ECC unassigned. This approach acknowledges that, in some cases, we may not have enough information to assign an ECC value immediately.</w:t>
      </w:r>
    </w:p>
    <w:p/>
    <w:p>
      <w:r>
        <w:t>A weekly audit process reviews all unresolved mappings to identify potential issues that require manual intervention. Any mapping whose ECC field remains empty is included in an alert notification sent for further investigation by business users. These alerts provide sufficient details to allow users to complete the missing ECC assignment accurately and efficiently.</w:t>
      </w:r>
    </w:p>
    <w:p/>
    <w:p>
      <w:r>
        <w:t>Throughout this process, we continually assess our decisions and consider additional factors that may impact pricing strategy. This iterative approach ensures that our pricing decisions are informed, accurate, and fair.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