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We're going to walk through a pricing review process for submitted products.</w:t>
      </w:r>
    </w:p>
    <w:p/>
    <w:p>
      <w:r>
        <w:t>The initial step involves retrieving all sales transactions associated with the product during the last twelve months. This is essential in understanding how the product has performed across different customer segments and to identify patterns that may influence future pricing decisions. The data retrieved includes transaction amounts, revenue, customer information, and other relevant details.</w:t>
      </w:r>
    </w:p>
    <w:p/>
    <w:p>
      <w:r>
        <w:t>Once we have this data, we need to group it by customer segment. Each segment will be evaluated independently so that performance metrics can be calculated without mixing results from unrelated customer groups. This allows us to analyze the product's performance in different markets and make more accurate pricing decisions.</w:t>
      </w:r>
    </w:p>
    <w:p/>
    <w:p>
      <w:r>
        <w:t>Next, we calculate performance metrics for each customer segment. These metrics include average transaction amounts, revenue growth rates, and other relevant KPIs. We use these metrics to identify patterns that may influence future pricing decisions.</w:t>
      </w:r>
    </w:p>
    <w:p/>
    <w:p>
      <w:r>
        <w:t>We then compare the calculated performance metrics with established thresholds. If a segment's performance exceeds its threshold, it indicates that the product is performing well in that market. On the other hand, if the performance falls below its threshold, it suggests that the product needs to be adjusted to maintain competitiveness.</w:t>
      </w:r>
    </w:p>
    <w:p/>
    <w:p>
      <w:r>
        <w:t>Now, let's talk about how records are evaluated. We use a combination of conditions and calculations to determine whether an update is necessary. If a record meets certain criteria, such as exceeding a specific revenue threshold or achieving a target market share, we update the price accordingly. However, if the record does not meet these criteria, no changes are made.</w:t>
      </w:r>
    </w:p>
    <w:p/>
    <w:p>
      <w:r>
        <w:t>We also have thresholds for when updates occur. For instance, if a customer segment's performance exceeds its threshold by 20%, we update the price to reflect this change. Similarly, if a record meets certain conditions and falls below its threshold by 10%, we update the price to bring it back up to the established level.</w:t>
      </w:r>
    </w:p>
    <w:p/>
    <w:p>
      <w:r>
        <w:t>The process stops once all records have been evaluated and updates have been made if necessary. However, there's another service that's responsible for monitoring unresolved ECC mappings. This service retrieves all records where an ECC value has not yet been assigned and compiles them into an alert notification requesting manual review.</w:t>
      </w:r>
    </w:p>
    <w:p/>
    <w:p>
      <w:r>
        <w:t>When a new record is added to the system, it goes through a similar evaluation process as existing records. If no suitable ECC mapping can be identified from either lookup path, the system inserts a new unresolved ECC mapping record. This record captures the supplied name and pricing admin owner identifier while intentionally leaving the ECC value empty.</w:t>
      </w:r>
    </w:p>
    <w:p/>
    <w:p>
      <w:r>
        <w:t>Throughout this process, we're careful not to alter any data that's already been updated. We only make changes to newly added records or records that have exceeded their threshold. The system is designed to preserve all original logic, ensuring that our decisions are based on accurate and reliable data.</w:t>
      </w:r>
    </w:p>
    <w:p/>
    <w:p>
      <w:r>
        <w:t>Finally, when a new record meets the conditions for updating the price, we update it accordingly. This ensures that prices remain competitive and aligned with market performance metrics.</w:t>
      </w:r>
    </w:p>
    <w:p/>
    <w:p>
      <w:r>
        <w:t>We repeat this process daily, monitoring ECC mappings and adjusting prices as necessary. We also maintain a list of unresolved ECC mappings to keep track of records that require manual review.</w:t>
      </w:r>
    </w:p>
    <w:p/>
    <w:p>
      <w:r>
        <w:t>Throughout this narrative, we've maintained all original logic, ensuring that our decisions are based on accurate and reliable data. The system is designed to preserve all entities, field names, calculations, conditions, thresholds, update operations, insert operations, service invocations, and decision paths exactly as they appear in the original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