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 is a detailed business process narrative that explains the workflow:</w:t>
      </w:r>
    </w:p>
    <w:p/>
    <w:p>
      <w:r>
        <w:t>The process begins by receiving a request for pricing information related to a specific product or part. The request typically includes details about the part, such as its name and the pricing admin owner responsible for it.</w:t>
      </w:r>
    </w:p>
    <w:p/>
    <w:p>
      <w:r>
        <w:t>The next step involves converting the supplied pricing admin owner code into its corresponding internal identifier using predefined mapping rules. This conversion is necessary because the system needs to identify which ECC cross-reference repository contains a mapping that matches both the supplied name and pricing admin owner.</w:t>
      </w:r>
    </w:p>
    <w:p/>
    <w:p>
      <w:r>
        <w:t>Once the converted internal identifier is available, the system searches the ECC cross-reference repository for a mapping that matches both the supplied name and pricing admin owner. This search is treated as the primary lookup because it provides the most precise match available. The purpose of this search is to identify whether a previously established ECC mapping can still be reused.</w:t>
      </w:r>
    </w:p>
    <w:p/>
    <w:p>
      <w:r>
        <w:t>If one and only one matching record is found during the primary lookup, the system evaluates the ECC value from that mapping. When an ECC value exists, the target part is updated accordingly based on predefined update rules. For instance, if the ECC value is an integer, it may represent a specific price tier or category.</w:t>
      </w:r>
    </w:p>
    <w:p/>
    <w:p>
      <w:r>
        <w:t>However, if no single matching record is found during the primary lookup, the system performs a secondary lookup using only the supplied name. The purpose of this search is to identify whether a previously established ECC mapping can still be reused. This secondary lookup is necessary because there are cases where multiple records match both the name and pricing admin owner.</w:t>
      </w:r>
    </w:p>
    <w:p/>
    <w:p>
      <w:r>
        <w:t>When multiple records are returned from either the primary or secondary lookup, the system treats the result as inconclusive because it cannot determine which mapping should be trusted. In these circumstances, the process ends without updating the part. The decision to continue with one of the matching records is based on predefined threshold rules, such as a minimum number of matches required before making an update.</w:t>
      </w:r>
    </w:p>
    <w:p/>
    <w:p>
      <w:r>
        <w:t>If no suitable ECC mapping can be identified from either lookup path, the system inserts a new unresolved ECC mapping record. This record captures the supplied name and pricing admin owner identifier while intentionally leaving the ECC value empty. The purpose of this record is to create a pending assignment for further review by the business team.</w:t>
      </w:r>
    </w:p>
    <w:p/>
    <w:p>
      <w:r>
        <w:t>Once the new record has been created, it becomes part of the monitoring queue, which is periodically reviewed by a second service responsible for tracking unresolved ECC mappings. This service is triggered every week and retrieves all records where ECC has not yet been assigned. These records are compiled into an alert notification requesting manual review.</w:t>
      </w:r>
    </w:p>
    <w:p/>
    <w:p>
      <w:r>
        <w:t>The purpose of this alert is to notify the business team that an ECC assignment is pending for the specific part or product in question. The alert includes identifying information necessary for completing the mapping, such as the part name and pricing admin owner. This information enables the business team to access relevant records and make necessary updates.</w:t>
      </w:r>
    </w:p>
    <w:p/>
    <w:p>
      <w:r>
        <w:t>When processing stops at this point, it means that either a suitable ECC mapping was identified through one of the lookup paths or no action is required based on predefined threshold rules. The system will continue running in the background, monitoring for updates to resolved mappings and sending alert notifications as needed.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