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Let's create an alternative version of a pricing review process while preserving the original logic exactly.</w:t>
      </w:r>
    </w:p>
    <w:p/>
    <w:p>
      <w:r>
        <w:t>The process begins by receiving a submission from a customer, which includes product details and sales transactions associated with that product over the last twelve months. The purpose of retrieving these transactions is to understand how the product has performed across different customer segments and to identify patterns that may influence future pricing decisions.</w:t>
      </w:r>
    </w:p>
    <w:p/>
    <w:p>
      <w:r>
        <w:t>Once the transactions have been received, our system retrieves all relevant data from our database, specifically the sales transactions for each product during the last twelve months. This data is retrieved to provide a comprehensive view of the product's performance history and to enable us to calculate performance metrics such as revenue growth and market share.</w:t>
      </w:r>
    </w:p>
    <w:p/>
    <w:p>
      <w:r>
        <w:t>The next step involves grouping the retrieved records by customer segment. Each segment is evaluated independently so that performance metrics can be calculated without mixing results from unrelated customer groups. This ensures that we can accurately compare performance across different segments and make informed pricing decisions for each group.</w:t>
      </w:r>
    </w:p>
    <w:p/>
    <w:p>
      <w:r>
        <w:t>Now, let's calculate the performance metrics for each customer segment. To do this, our system applies a set of predefined calculations based on the retrieved data. The first calculation involves determining the total revenue generated by each product over the last twelve months. This is done by summing up the transaction values from each sales record.</w:t>
      </w:r>
    </w:p>
    <w:p/>
    <w:p>
      <w:r>
        <w:t>Next, we need to determine if any of the candidate designs appear within the last ten years. If none of them do, automatic enrichment should not occur, and our system will trigger a Windchill process.</w:t>
      </w:r>
    </w:p>
    <w:p/>
    <w:p>
      <w:r>
        <w:t>Assuming that at least one candidate design meets this threshold, we proceed with evaluating usage trends for each configuration. To do this, we apply another set of predefined calculations based on the retrieved data. The first calculation involves determining the engine population for each candidate over the last five years and the earlier five-year period. This is done by counting the number of transactions associated with each product during that time frame.</w:t>
      </w:r>
    </w:p>
    <w:p/>
    <w:p>
      <w:r>
        <w:t>For each configuration, we compare the recent engine population to the prior engine population. A configuration is considered valid only when the recent engine population exceeds the prior engine population. If this condition is not met, we consider the configuration invalid and move on to evaluate the next one.</w:t>
      </w:r>
    </w:p>
    <w:p/>
    <w:p>
      <w:r>
        <w:t>Once we have evaluated all candidate designs, we need to select the most appropriate configuration based on our predefined criteria. The configuration with the highest recent engine population count is considered the winner. This means that its attributes will be used to update the target part record.</w:t>
      </w:r>
    </w:p>
    <w:p/>
    <w:p>
      <w:r>
        <w:t>Next, we retrieve the corresponding configuration record from our database and obtain the necessary attributes such as engine model, displacement liters, certification level, market application, engine type, and fuel system type. These attributes are retrieved based on the uuid supplied in the request.</w:t>
      </w:r>
    </w:p>
    <w:p/>
    <w:p>
      <w:r>
        <w:t>Now that we have all the necessary attributes, we update the target part record using these values. The selected configuration becomes the authoritative source for populating the engine-related fields on the part.</w:t>
      </w:r>
    </w:p>
    <w:p/>
    <w:p>
      <w:r>
        <w:t>As soon as the update is complete, our system marks the process as finished. This means that no further actions are required to proceed with the pricing review. However, if any errors occur during this process, we will trigger an error message and provide additional information to facilitate troubleshooting.</w:t>
      </w:r>
    </w:p>
    <w:p/>
    <w:p>
      <w:r>
        <w:t>Now that we have completed all steps of the pricing review process, we can confidently move forward with our recommendations for future pricing adjustments based on our analysis of historical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