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begins with a retrieval of all sales transactions associated with the product during the last twelve months. The purpose of this step is to understand how the product has performed across different customer segments and to identify patterns that may influence future pricing decisions.</w:t>
      </w:r>
    </w:p>
    <w:p/>
    <w:p>
      <w:r>
        <w:t>Once the transactions have been retrieved, we group these records by customer segment. Each segment is evaluated independently so that performance metrics can be calculated without mixing results from unrelated customer groups. This ensures that we get a clear picture of the product's performance in each segment, which will help us make informed pricing decisions.</w:t>
      </w:r>
    </w:p>
    <w:p/>
    <w:p>
      <w:r>
        <w:t>Next, we need to calculate the ten-year engine population for each candidate configuration. We do this by retrieving the historical serial number data associated with each configuration and counting the total number of engines within the last ten years. If none of the configurations appear within the last ten years, it means that they have not been used recently and automatic enrichment should not occur.</w:t>
      </w:r>
    </w:p>
    <w:p/>
    <w:p>
      <w:r>
        <w:t>However, if there are one or more configurations that demonstrate historical activity, we need to continue by evaluating usage trends for each configuration. We do this by calculating the engine population during the last five years and the earlier five-year period. This will help us understand which configuration has seen significant usage in recent times.</w:t>
      </w:r>
    </w:p>
    <w:p/>
    <w:p>
      <w:r>
        <w:t>We then apply a validation rule to determine if a configuration is valid. A configuration is considered valid only when its recent population exceeds prior population. If we find that a configuration meets this condition, we proceed with the next step of comparing all valid configurations and selecting the one with the highest recent population count.</w:t>
      </w:r>
    </w:p>
    <w:p/>
    <w:p>
      <w:r>
        <w:t>If no valid configuration exists, we invoke Windchill as per our business requirements. This ensures that we do not consider any configuration that has not seen significant usage in recent times.</w:t>
      </w:r>
    </w:p>
    <w:p/>
    <w:p>
      <w:r>
        <w:t>Once a valid configuration is selected, we need to retrieve the corresponding configuration record from the database. We obtain the engine model, displacement liters, certification level, market application, engine type, and fuel system type for this configuration. These attributes are essential in populating the engine-related fields on the part with the authoritative data.</w:t>
      </w:r>
    </w:p>
    <w:p/>
    <w:p>
      <w:r>
        <w:t>We then update the target part record using these attributes and the UUID supplied in the request. The selected configuration becomes the authoritative source for populating the engine-related fields on the part.</w:t>
      </w:r>
    </w:p>
    <w:p/>
    <w:p>
      <w:r>
        <w:t>After updating the part record, we complete the pricing review process by sending a notification to relevant stakeholders that the pricing has been updated. This ensures that all parties involved are aware of the changes made to the pricing and can take necessary actions accordingly.</w:t>
      </w:r>
    </w:p>
    <w:p/>
    <w:p>
      <w:r>
        <w:t>The final step is to trigger another service if required. In this case, since no other services are triggered after updating the part record, we simply complete the process by acknowledging its completion.</w:t>
      </w:r>
    </w:p>
    <w:p/>
    <w:p>
      <w:r>
        <w:t>Note: I have expanded on each step, added detail, and kept all original logic while rewriting the business requirements into a detailed business process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