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the receipt of a submitted product to review for pricing purposes. This workflow is designed to evaluate the performance of the product across various customer segments, identify patterns that may influence future pricing decisions, and update records accordingly.</w:t>
      </w:r>
    </w:p>
    <w:p/>
    <w:p>
      <w:r>
        <w:t>Upon receiving the submission, our system retrieves all sales transactions associated with the product during the last twelve months. These transactions are crucial in understanding how the product has performed across different customer segments, which is essential for making informed pricing decisions. The purpose of retrieving these transactions also includes identifying patterns that may influence future pricing decisions.</w:t>
      </w:r>
    </w:p>
    <w:p/>
    <w:p>
      <w:r>
        <w:t>Once the transactions have been retrieved, our system groups the records by customer segment. This grouping allows us to evaluate each segment independently without mixing results from unrelated customer groups. By doing so, we can accurately calculate performance metrics for each segment and make adjustments to pricing accordingly.</w:t>
      </w:r>
    </w:p>
    <w:p/>
    <w:p>
      <w:r>
        <w:t>Next, we proceed with evaluating each record in its respective group. We examine key performance indicators (KPIs) such as revenue, profit margins, and unit sales volume to determine the overall performance of the product within that customer segment. These KPIs help us identify trends, patterns, and areas where the product is performing exceptionally well or poorly.</w:t>
      </w:r>
    </w:p>
    <w:p/>
    <w:p>
      <w:r>
        <w:t>If any of the records in a particular group demonstrate significant deviations from expected norms, we flag them for further review. This ensures that we can address any issues promptly and make adjustments to pricing decisions to reflect these changes.</w:t>
      </w:r>
    </w:p>
    <w:p/>
    <w:p>
      <w:r>
        <w:t>Now, let's proceed with calculating the ten-year engine population for each candidate design configuration. We use historical engine usage data to determine which configuration best represents current usage. The purpose of this calculation is to identify the most suitable configuration that reflects recent trends and performance patterns.</w:t>
      </w:r>
    </w:p>
    <w:p/>
    <w:p>
      <w:r>
        <w:t>If none of the candidate configurations appear within the last ten years, we skip automatic enrichment and trigger Windchill instead. This ensures that our system does not attempt to make pricing decisions based on outdated or irrelevant data.</w:t>
      </w:r>
    </w:p>
    <w:p/>
    <w:p>
      <w:r>
        <w:t>Moving forward, if one or more configurations demonstrate historical activity, we continue by evaluating usage trends for each configuration. We calculate engine population during the last five years and earlier five-year period to assess recent performance patterns and identify trends.</w:t>
      </w:r>
    </w:p>
    <w:p/>
    <w:p>
      <w:r>
        <w:t>A configuration is considered valid only when its recent population exceeds prior population. This condition helps us ensure that our pricing decisions are based on reliable data rather than outdated or inconsistent information.</w:t>
      </w:r>
    </w:p>
    <w:p/>
    <w:p>
      <w:r>
        <w:t>Next, we compare all valid configurations to select the one with the highest recent population count. If no valid configuration exists, we invoke Windchill and halt the process. However, if a configuration is selected, we proceed with updating records accordingly.</w:t>
      </w:r>
    </w:p>
    <w:p/>
    <w:p>
      <w:r>
        <w:t>We retrieve the corresponding configuration record and extract key attributes such as engine model, displacement liters, certification level, market application, engine type, and fuel system type. These attributes are essential in populating relevant fields on the part record.</w:t>
      </w:r>
    </w:p>
    <w:p/>
    <w:p>
      <w:r>
        <w:t>With these attributes in hand, we update the target part record using the selected configuration's data and the uuid supplied in the original submission request. The selected configuration becomes the authoritative source for populating the engine-related fields on the part.</w:t>
      </w:r>
    </w:p>
    <w:p/>
    <w:p>
      <w:r>
        <w:t>Once this step is complete, our system confirms that pricing decisions are based on reliable, up-to-date data. The process stops at this point, and we have successfully updated records to reflect the most recent pricing decisions.</w:t>
      </w:r>
    </w:p>
    <w:p/>
    <w:p>
      <w:r>
        <w:t>Now that we've completed the review process, we can trigger services accordingly. In this case, we invoke Windchill if a valid configuration was not identified or if automatic enrichment is skipped due to lack of historical activity within the specified time frame.</w:t>
      </w:r>
    </w:p>
    <w:p/>
    <w:p>
      <w:r>
        <w:t>Throughout the entire workflow, we have adhered strictly to our business requirements, preserving all logic exactly, entities, field names, calculations, conditions, thresholds, update operations, insert operations, service invocations, decision paths, and other critical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