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pricing review is required for the submitted product.</w:t>
      </w:r>
    </w:p>
    <w:p/>
    <w:p>
      <w:r>
        <w:t>This process begins by retrieving all sales transactions associated with the product during the last twelve months. This step involves accessing historical data to understand how the product has performed across different customer segments and to identify patterns that may influence future pricing decisions. The system will search through various databases and repositories to gather relevant transaction records, ensuring that only those related to the specific product are retrieved.</w:t>
      </w:r>
    </w:p>
    <w:p/>
    <w:p>
      <w:r>
        <w:t>Once the transactions have been retrieved, the next step is to group them by customer segment. This grouping allows for independent evaluation of performance metrics within each segment without mixing results from unrelated groups. By doing so, we can analyze trends and patterns specifically relevant to each customer segment. The grouped records will be evaluated separately, enabling us to accurately calculate performance metrics.</w:t>
      </w:r>
    </w:p>
    <w:p/>
    <w:p>
      <w:r>
        <w:t>The system will now evaluate the grouped records independently for each customer segment. This involves calculating various metrics that provide insight into how well the product has performed within those specific groups. These metrics may include sales volume, revenue growth, or other relevant indicators. The evaluation of these metrics is crucial in helping us determine the most suitable pricing strategy for future periods.</w:t>
      </w:r>
    </w:p>
    <w:p/>
    <w:p>
      <w:r>
        <w:t>After evaluating each customer segment individually, the system will proceed to calculate performance metrics based on the evaluated data. This calculation involves applying various thresholds and conditions that are specific to the product and its usage patterns. By incorporating these factors into our analysis, we can ensure that our pricing decisions are informed by objective data rather than assumptions or biases.</w:t>
      </w:r>
    </w:p>
    <w:p/>
    <w:p>
      <w:r>
        <w:t>The system will then compare the calculated performance metrics against predefined thresholds. These thresholds are established based on industry benchmarks, market trends, and other relevant factors. If the calculated metric falls within an acceptable range, it is considered a positive indicator of the product's performance. Conversely, if it exceeds or falls short of the threshold, further analysis may be required to determine its implications for pricing.</w:t>
      </w:r>
    </w:p>
    <w:p/>
    <w:p>
      <w:r>
        <w:t>If none of the three configurations has any engine serial number activity during the last ten years, the system will immediately invoke the Windchill service because there is insufficient historical evidence to make a reliable determination. This invocation ensures that our analysis does not rely solely on data that may be incomplete or unreliable.</w:t>
      </w:r>
    </w:p>
    <w:p/>
    <w:p>
      <w:r>
        <w:t>Conversely, if at least one configuration has historical engine activity within the last ten years, further evaluation is performed. The system will proceed with calculating two separate counts for each qualifying configuration: recent and older activity. These counts represent different periods of time and are used to assess the product's performance trajectory over time.</w:t>
      </w:r>
    </w:p>
    <w:p/>
    <w:p>
      <w:r>
        <w:t>The first count represents recent activity, which is determined by counting engine serial numbers associated with the configuration where the build year falls within the last five years. This count provides insight into how well the product has performed in its most recent usage cycles. The second count represents older activity, which is determined by counting engine serial numbers associated with the configuration where the build year is older than five years but still falls within the last ten years.</w:t>
      </w:r>
    </w:p>
    <w:p/>
    <w:p>
      <w:r>
        <w:t>After both counts have been calculated, the system will compare them to determine if there are any trends or patterns that could inform our pricing decisions. A key condition for this comparison is that the recent five-year population must be greater than the older activity count. This ensures that we're only considering configurations that demonstrate increasing usage trends over time.</w:t>
      </w:r>
    </w:p>
    <w:p/>
    <w:p>
      <w:r>
        <w:t>Configurations that fail to meet this condition may be excluded from consideration because they do not exhibit these desired performance characteristics. Excluding such configurations helps us ensure that our pricing strategies are aligned with industry best practices and take into account real-world market dynamics.</w:t>
      </w:r>
    </w:p>
    <w:p/>
    <w:p>
      <w:r>
        <w:t>Following the evaluation of all three configurations, the system will identify the configuration that has the highest recent five-year engine count among those that passed all previous checks. This step is crucial in determining which configuration to use as a reference point for future pricing decisions.</w:t>
      </w:r>
    </w:p>
    <w:p/>
    <w:p>
      <w:r>
        <w:t>If no configuration remains after applying these rules, the workflow should invoke the Windchill service because no candidate demonstrates sufficient historical relevance. In such cases, our analysis relies solely on theoretical or benchmark data rather than real-world performance metrics.</w:t>
      </w:r>
    </w:p>
    <w:p/>
    <w:p>
      <w:r>
        <w:t>Conversely, if a qualifying configuration is identified, that configuration becomes the selected configuration for subsequent processing. The system will use this selection to retrieve the corresponding configuration record and extract relevant attributes associated with it. These attributes may include engine model, displacement liters, certification level, market application, engine type, and fuel system type.</w:t>
      </w:r>
    </w:p>
    <w:p/>
    <w:p>
      <w:r>
        <w:t>With these attributes in hand, the system will proceed to update the target part record supplied in the request using the extracted information from the selected configuration. This update response must reference the same part identifier provided in the incoming request, ensuring that the correct part record receives the configuration details.</w:t>
      </w:r>
    </w:p>
    <w:p/>
    <w:p>
      <w:r>
        <w:t>In conclusion, this pricing review process is designed to provide a comprehensive and data-driven approach to determining optimal pricing strategies for our products. By evaluating performance metrics within each customer segment, we can ensure that our decisions are informed by objective data rather than assumptions or biases. The system's ability to invoke services and update records accordingly underscores its capacity to adapt to changing market conditions while maintaining consistency in its decision-making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