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detailed business process narrative based on your requirements:</w:t>
      </w:r>
    </w:p>
    <w:p/>
    <w:p>
      <w:r>
        <w:t>When a pricing review is requested for a submitted product, the first step is to retrieve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To accomplish this task, we need to access the sales transaction database, which contains records of all past sales events for the product. Once we have retrieved the required data, we will group the transactions by customer segment using a combination of customer ID, location, and other relevant criteria. This allows us to analyze performance metrics separately for each segment without mixing results from unrelated groups.</w:t>
      </w:r>
    </w:p>
    <w:p/>
    <w:p>
      <w:r>
        <w:t>Upon grouping the transactions by customer segment, we evaluate each segment independently to ensure that our calculations are accurate and unbiased. We use this evaluation method to calculate key performance indicators (KPIs) such as revenue growth rate, unit sales volume, and customer satisfaction ratings for each segment.</w:t>
      </w:r>
    </w:p>
    <w:p/>
    <w:p>
      <w:r>
        <w:t>Next, we retrieve all relevant configuration data associated with the product, including production options, materials, and specifications. This data is retrieved from a centralized database or system that manages product configurations.</w:t>
      </w:r>
    </w:p>
    <w:p/>
    <w:p>
      <w:r>
        <w:t>We compare the historical performance metrics of each customer segment to identify patterns and trends that may impact future pricing decisions. If no patterns emerge, we proceed to calculate additional KPIs, such as customer satisfaction ratings, loyalty scores, and market share.</w:t>
      </w:r>
    </w:p>
    <w:p/>
    <w:p>
      <w:r>
        <w:t>To determine whether our analysis has provided sufficient evidence for pricing adjustments, we set thresholds for each KPI. These thresholds define the minimum levels of performance required for a customer segment to be considered eligible for price adjustments.</w:t>
      </w:r>
    </w:p>
    <w:p/>
    <w:p>
      <w:r>
        <w:t>If our analysis meets these thresholds, we proceed to make pricing recommendations based on the data we have collected. If not, we stop processing and do not invoke any additional services.</w:t>
      </w:r>
    </w:p>
    <w:p/>
    <w:p>
      <w:r>
        <w:t>However, if no patterns emerge from our historical performance metrics or if our thresholds are not met, we need to invoke a secondary service, which will trigger an evaluation of the product's competitive positioning in the market. This service will assess the product's features, benefits, and overall value proposition compared to similar products offered by competitors.</w:t>
      </w:r>
    </w:p>
    <w:p/>
    <w:p>
      <w:r>
        <w:t>Once the secondary service has completed its evaluation, it will provide us with recommendations for pricing adjustments based on its findings. We then proceed to make pricing recommendations using these recommendations as input data.</w:t>
      </w:r>
    </w:p>
    <w:p/>
    <w:p>
      <w:r>
        <w:t>At all stages of this process, we maintain detailed records of our analysis, calculations, and decisions to ensure transparency and accountability. These records are stored in a secure database or system that allows us to track changes, updates, and revisions over time.</w:t>
      </w:r>
    </w:p>
    <w:p/>
    <w:p>
      <w:r>
        <w:t>Throughout the entire process, we adhere strictly to predetermined business rules, thresholds, and decision paths to guarantee consistency, accuracy, and fairness in our pricing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