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Our goal is to create alternative versions of the existing requirements while preserving all business logic exactly.</w:t>
      </w:r>
    </w:p>
    <w:p/>
    <w:p>
      <w:r>
        <w:t>The process begins by retrieving all sales transactions associated with product XYZ during the last twelve months. This step is essential to understand how product XYZ has performed across different customer segments and to identify patterns that may influence future pricing decisions.</w:t>
      </w:r>
    </w:p>
    <w:p/>
    <w:p>
      <w:r>
        <w:t>To accomplish this, we need to query the database for transactions involving product XYZ within the specified timeframe. The purpose of doing so is to analyze sales performance metrics without mixing results from unrelated customer groups.</w:t>
      </w:r>
    </w:p>
    <w:p/>
    <w:p>
      <w:r>
        <w:t>Once the transactions have been retrieved, they are grouped by customer segment. Each segment will be evaluated independently to calculate performance metrics in a way that ensures accurate and comparable data across different segments.</w:t>
      </w:r>
    </w:p>
    <w:p/>
    <w:p>
      <w:r>
        <w:t>Now, let's focus on evaluating each record individually within a specific segment. The evaluation process involves several steps:</w:t>
      </w:r>
    </w:p>
    <w:p/>
    <w:p>
      <w:r>
        <w:t>1. Retrieving relevant historical build information: We need to fetch the historical build information associated with product XYZ for the current configuration. This step is crucial in understanding how product XYZ has performed in terms of quality and reliability over time.</w:t>
      </w:r>
    </w:p>
    <w:p/>
    <w:p>
      <w:r>
        <w:t>2. Calculating recent activity: For each qualifying record, we calculate a count representing recent activity by determining how many engine serial numbers are associated with that record where the build year falls within the last five years. This will provide valuable insights into product XYZ's current performance trends.</w:t>
      </w:r>
    </w:p>
    <w:p/>
    <w:p>
      <w:r>
        <w:t>3. Evaluating older activity: We also need to evaluate older activity by counting the number of engine serial numbers associated with each record where the build year is older than five years but still falls within the last ten years. This step helps us understand how well product XYZ has performed in the past and whether there have been any changes in its performance over time.</w:t>
      </w:r>
    </w:p>
    <w:p/>
    <w:p>
      <w:r>
        <w:t>4. Comparing recent and older activity: By comparing the counts from steps 2 and 3, we can determine if product XYZ is demonstrating increasing usage trends. If the count of recent five-year engine population is greater than the population observed during the prior five-year period, it indicates an upward trend in performance.</w:t>
      </w:r>
    </w:p>
    <w:p/>
    <w:p>
      <w:r>
        <w:t>5. Identifying qualifying configurations: Based on the evaluation results from step 4, we identify which configuration(s) meet the required criteria and remain eligible for further analysis.</w:t>
      </w:r>
    </w:p>
    <w:p/>
    <w:p>
      <w:r>
        <w:t>Now, let's consider how these steps translate into actual workflow operations:</w:t>
      </w:r>
    </w:p>
    <w:p/>
    <w:p>
      <w:r>
        <w:t>- Retrieving all relevant sales transactions associated with product XYZ during the last twelve months requires a database query using SQL syntax.</w:t>
      </w:r>
    </w:p>
    <w:p>
      <w:r>
        <w:t>- Grouping and evaluating records within a specific segment involves iterating through each record in the retrieved transaction data set and applying the evaluation logic described above.</w:t>
      </w:r>
    </w:p>
    <w:p>
      <w:r>
        <w:t>- Performing calculations for recent and older activity necessitates counting engine serial numbers based on build years, which can be achieved using aggregate functions such as COUNT() in SQL.</w:t>
      </w:r>
    </w:p>
    <w:p>
      <w:r>
        <w:t>- Comparing these counts involves simple comparison operations within our application code.</w:t>
      </w:r>
    </w:p>
    <w:p/>
    <w:p>
      <w:r>
        <w:t>After evaluating all records and identifying qualifying configurations, we need to decide what action to take next. If no configuration remains eligible after applying the evaluation rules, we invoke another service called Windchill because no candidate demonstrates sufficient historical relevance.</w:t>
      </w:r>
    </w:p>
    <w:p/>
    <w:p>
      <w:r>
        <w:t>If a qualifying configuration is identified, that configuration becomes the selected configuration for subsequent processing. To accomplish this, we use the selected configuration number to retrieve the corresponding configuration record from our database using SQL syntax.</w:t>
      </w:r>
    </w:p>
    <w:p/>
    <w:p>
      <w:r>
        <w:t>Once the configuration record has been located, we obtain specific attributes such as engine model, displacement liters, certification level, market application, engine type, and fuel system type associated with that configuration. We then update the target part record supplied in the request using these configuration attributes, making sure to reference the same part identifier provided in the incoming request.</w:t>
      </w:r>
    </w:p>
    <w:p/>
    <w:p>
      <w:r>
        <w:t>Throughout this process, we maintain a detailed audit trail of all updates made to the system data, enabling us to track changes in real-time and make informed decisions based on historical performance metrics.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