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start by explaining the process for determining the pricing of a product. This process is triggered when a new product is submitted, and we need to review its pricing strategy.</w:t>
      </w:r>
    </w:p>
    <w:p/>
    <w:p>
      <w:r>
        <w:t>We begin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information will be used to calculate the historical performance metrics for each customer segment.</w:t>
      </w:r>
    </w:p>
    <w:p/>
    <w:p>
      <w:r>
        <w:t>Once we have retrieved the relevant transactions, we group them by customer segment. Each segment is evaluated independently so that performance metrics can be calculated without mixing results from unrelated customer groups. This ensures that we can accurately determine the overall pricing strategy for the product.</w:t>
      </w:r>
    </w:p>
    <w:p/>
    <w:p>
      <w:r>
        <w:t>Next, we need to evaluate the records in each segment to calculate their performance metrics. We do this by counting the number of sales transactions associated with each configuration within a specified time frame. The first validation step is to determine whether the configuration has meaningful historical presence over the last decade. To do this, we count the number of engine serial numbers associated with that configuration where the build year falls within the last ten years.</w:t>
      </w:r>
    </w:p>
    <w:p/>
    <w:p>
      <w:r>
        <w:t>If none of the three configurations has any engine serial number activity during the last ten years, the system should not attempt automatic configuration selection. In that situation, the workflow must immediately invoke the Windchill service because there is insufficient historical evidence to make a reliable determination. This ensures that we don't proceed with pricing strategies based on incomplete data.</w:t>
      </w:r>
    </w:p>
    <w:p/>
    <w:p>
      <w:r>
        <w:t>If at least one of the three configurations has historical engine activity within the last ten years, further evaluation is performed. For every qualifying configuration, we calculate two separate historical counts: recent activity and older activity. The recent activity count represents sales transactions associated with the configuration where the build year falls within the last five years, while the older activity count represents sales transactions associated with the configuration where the build year is older than five years but still falls within the last ten years.</w:t>
      </w:r>
    </w:p>
    <w:p/>
    <w:p>
      <w:r>
        <w:t>We then compare these two counts to determine if the configuration has demonstrated increasing usage trends. A configuration only remains eligible if the recent five-year population is greater than the population observed during the prior five-year period. If this condition is not met, the configuration should be excluded from consideration because it does not demonstrate a clear increase in usage.</w:t>
      </w:r>
    </w:p>
    <w:p/>
    <w:p>
      <w:r>
        <w:t>After all three configurations have been evaluated, we identify the configuration that has the highest recent five-year engine count among the configurations that passed all previous checks. This determines which configuration will be used as the basis for pricing the product.</w:t>
      </w:r>
    </w:p>
    <w:p/>
    <w:p>
      <w:r>
        <w:t>If no configuration remains after applying these rules, the workflow should invoke the Windchill service because no candidate demonstrates sufficient historical relevance. If a qualifying configuration is identified, that configuration becomes the selected configuration for subsequent processing.</w:t>
      </w:r>
    </w:p>
    <w:p/>
    <w:p>
      <w:r>
        <w:t>Using the selected configuration number, we retrieve the corresponding configuration record and obtain the engine model, displacement liters, certification level, market application, engine type, and fuel system type associated with that configuration. These attributes are then used to update the target part record supplied in the request, ensuring that the correct pricing information is applied to the product.</w:t>
      </w:r>
    </w:p>
    <w:p/>
    <w:p>
      <w:r>
        <w:t>Once the target part record has been updated, we confirm that the update response references the same part identifier provided in the incoming request. This ensures that the correct part record receives the configuration information and that the pricing strategy for the product is accurate and reliable.</w:t>
      </w:r>
    </w:p>
    <w:p/>
    <w:p>
      <w:r>
        <w:t>The process stops here, as we have successfully determined the pricing strategy for the product based on historical data analysis. The workflow then proceeds to invoke the Windchill service if necessary, ensuring that the pricing decision is made in accordance with our established business rules and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