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Here is a rewritten version of the business requirements as a detailed business process narrative:</w:t>
      </w:r>
    </w:p>
    <w:p/>
    <w:p>
      <w:r>
        <w:t>The process begins by retrieving all sales transactions associated with Engine Configuration X (ECX) during the last twelve months. This is necessary to understand how ECX has performed across different customer segments and to identify patterns that may influence future pricing decisions.</w:t>
      </w:r>
    </w:p>
    <w:p/>
    <w:p>
      <w:r>
        <w:t>Once the transactions have been retrieved, they are grouped by customer segment using a hierarchical grouping structure based on customer identifier, product category, and region. Each segment is evaluated independently so that performance metrics can be calculated without mixing results from unrelated customer groups. The grouping process involves the following steps:</w:t>
      </w:r>
    </w:p>
    <w:p/>
    <w:p>
      <w:r>
        <w:t>1. Retrieve all sales transactions associated with ECX.</w:t>
      </w:r>
    </w:p>
    <w:p>
      <w:r>
        <w:t>2. Filter out any transactions that do not have a valid timestamp or are missing essential fields.</w:t>
      </w:r>
    </w:p>
    <w:p>
      <w:r>
        <w:t>3. Group the remaining transactions by customer segment using the hierarchical grouping structure.</w:t>
      </w:r>
    </w:p>
    <w:p/>
    <w:p>
      <w:r>
        <w:t>The grouped segments are then evaluated independently to calculate performance metrics such as average price, revenue, and market share. The calculation of these metrics involves the following steps:</w:t>
      </w:r>
    </w:p>
    <w:p/>
    <w:p>
      <w:r>
        <w:t>1. Calculate the total value of sales for each segment.</w:t>
      </w:r>
    </w:p>
    <w:p>
      <w:r>
        <w:t>2. Divide the total value by the number of transactions to calculate the average price per unit.</w:t>
      </w:r>
    </w:p>
    <w:p>
      <w:r>
        <w:t>3. Add a small bonus to the average price based on industry benchmarks.</w:t>
      </w:r>
    </w:p>
    <w:p/>
    <w:p>
      <w:r>
        <w:t>To determine if any configuration has been actively used during the last ten years, historical usage is measured by counting engine serial numbers linked to each configuration. This involves the following steps:</w:t>
      </w:r>
    </w:p>
    <w:p/>
    <w:p>
      <w:r>
        <w:t>1. Retrieve all engine serial numbers associated with ECX from the Windchill service.</w:t>
      </w:r>
    </w:p>
    <w:p>
      <w:r>
        <w:t>2. Filter out any engine serial numbers that do not have a valid timestamp or are missing essential fields.</w:t>
      </w:r>
    </w:p>
    <w:p>
      <w:r>
        <w:t>3. Count the number of engine serial numbers whose build year is within the last ten years.</w:t>
      </w:r>
    </w:p>
    <w:p/>
    <w:p>
      <w:r>
        <w:t>A configuration is considered historically active if at least one engine serial number exists during that time period. If all three configurations have zero activity during the last ten years, automatic processing must stop and the Windchill service must be triggered. This indicates that none of the candidate configurations have meaningful historical evidence.</w:t>
      </w:r>
    </w:p>
    <w:p/>
    <w:p>
      <w:r>
        <w:t>When one or more configurations show activity within the last ten years, a trend analysis must be performed. This involves the following steps:</w:t>
      </w:r>
    </w:p>
    <w:p/>
    <w:p>
      <w:r>
        <w:t>1. Retrieve all engine serial numbers associated with each active configuration from the Windchill service.</w:t>
      </w:r>
    </w:p>
    <w:p>
      <w:r>
        <w:t>2. Filter out any engine serial numbers that do not have a valid timestamp or are missing essential fields.</w:t>
      </w:r>
    </w:p>
    <w:p>
      <w:r>
        <w:t>3. Calculate the number of engine serial numbers built during the most recent five-year period using historical data from the Windchill service.</w:t>
      </w:r>
    </w:p>
    <w:p>
      <w:r>
        <w:t>4. Calculate the number of engine serial numbers built during the earlier five-year period that falls between five and ten years ago.</w:t>
      </w:r>
    </w:p>
    <w:p/>
    <w:p>
      <w:r>
        <w:t>The purpose of these calculations is to identify whether the configuration is becoming more common or less common over time. Only configurations whose recent five-year population exceeds their prior five-year population should remain under consideration. Configurations failing this trend requirement must be discarded.</w:t>
      </w:r>
    </w:p>
    <w:p/>
    <w:p>
      <w:r>
        <w:t>Among the remaining configurations, compare the recent five-year counts and select the configuration with the highest value based on average price and revenue metrics. The selected configuration is treated as the preferred configuration because it demonstrates both historical presence and increasing usage.</w:t>
      </w:r>
    </w:p>
    <w:p/>
    <w:p>
      <w:r>
        <w:t>When a preferred configuration is successfully identified, retrieve its configuration details from the Windchill service to obtain the engine model, displacement liters, certification level, market application, engine type, and fuel system type. These values should then be written to the target part record identified in the request using an update operation that preserves the request UUID so that the correct part receives the selected configuration attributes.</w:t>
      </w:r>
    </w:p>
    <w:p/>
    <w:p>
      <w:r>
        <w:t>The processing stops when a preferred configuration is successfully identified or when all configurations have failed the trend analysis. If no configuration survives the evaluation process, the Windchill service must be triggered to resolve any issues with the part record.</w:t>
      </w:r>
    </w:p>
    <w:p/>
    <w:p>
      <w:r>
        <w:t>When an update operation is completed, confirm that all data has been updated successfully and verify that the request UUID matches the expected value. This ensures that the correct part receives the selected configuration attributes without any errors or inconsistencies.</w:t>
      </w:r>
    </w:p>
    <w:p/>
    <w:p>
      <w:r>
        <w:t>The complete business process involves multiple stages, including data retrieval, grouping, calculation of performance metrics, historical analysis, trend analysis, selection of preferred configurations, and update operations. Each stage requires careful attention to detail and accurate execution to ensure that the entire process is completed successfully and efficiently.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