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review the pricing for a submitted product accurately.</w:t>
      </w:r>
    </w:p>
    <w:p/>
    <w:p>
      <w:r>
        <w:t>The process begins by retrieving all sales transactions associated with the product during the last twelve months. This information is crucial because it allows us to understand how the product has performed across different customer segments and identify patterns that may influence future pricing decisions. The reason we focus on the last twelve months is that historical data typically provides valuable insights into long-term trends and performance metrics.</w:t>
      </w:r>
    </w:p>
    <w:p/>
    <w:p>
      <w:r>
        <w:t>Upon retrieving the transactions, the records are grouped by customer segment. This step is essential because each segment's performance can be calculated independently without mixing results from unrelated customer groups. By doing so, we can accurately assess the product's performance in different markets and make informed decisions about pricing adjustments.</w:t>
      </w:r>
    </w:p>
    <w:p/>
    <w:p>
      <w:r>
        <w:t>Once the transactions have been retrieved and grouped by customer segment, we evaluate the records within each segment individually. This step is crucial because it ensures that performance metrics are calculated for each segment without being affected by other segments' results. By evaluating each segment independently, we can identify any trends or patterns in sales data that may impact pricing decisions.</w:t>
      </w:r>
    </w:p>
    <w:p/>
    <w:p>
      <w:r>
        <w:t>Next, we need to calculate performance metrics for each customer segment. These metrics will provide us with valuable insights into how the product has performed across different groups and help us make informed pricing adjustments. The performance metrics calculated during this step include total sales volume, revenue growth rate, customer acquisition costs, and other relevant metrics.</w:t>
      </w:r>
    </w:p>
    <w:p/>
    <w:p>
      <w:r>
        <w:t>To determine which configuration should be applied to a part, we need to calculate historical usage for each candidate configuration. Historical usage is measured by counting engine serial numbers linked to each configuration. For every candidate configuration, we must calculate the total number of engine serial numbers whose build year is within the last ten years. This calculation will help us determine whether any of the candidate configurations have been actively used during that time period.</w:t>
      </w:r>
    </w:p>
    <w:p/>
    <w:p>
      <w:r>
        <w:t>If all three configurations have zero activity during the last ten years, automatic processing must stop and another service must be triggered. This indicates that none of the candidate configurations have meaningful historical evidence, making it necessary to review other factors such as market demand or customer feedback before proceeding.</w:t>
      </w:r>
    </w:p>
    <w:p/>
    <w:p>
      <w:r>
        <w:t>When one or more configurations show activity within the last ten years, a trend analysis must be performed. For each active configuration, we calculate the number of engine serial numbers built during the most recent five-year period and the number of engine serial numbers built in earlier periods that fall between five and ten years ago. This step helps us identify whether the configuration is becoming more common or less common over time.</w:t>
      </w:r>
    </w:p>
    <w:p/>
    <w:p>
      <w:r>
        <w:t>We then compare the counts from these two periods to determine whether a configuration should be retained or discarded based on its trend. Only configurations whose recent five-year population exceeds their prior five-year population will remain under consideration, as these have demonstrated an increase in usage and are likely more suitable for new parts.</w:t>
      </w:r>
    </w:p>
    <w:p/>
    <w:p>
      <w:r>
        <w:t>Among the remaining configurations, we compare the counts of engine serial numbers built during the most recent five-year period to select the configuration with the highest value. The selected configuration is treated as the preferred configuration because it demonstrates both historical presence and increasing usage.</w:t>
      </w:r>
    </w:p>
    <w:p/>
    <w:p>
      <w:r>
        <w:t>If no configuration survives this evaluation process, another service must be triggered. This indicates that none of the candidate configurations have demonstrated meaningful historical evidence or trends that justify their application to new parts.</w:t>
      </w:r>
    </w:p>
    <w:p/>
    <w:p>
      <w:r>
        <w:t>Once a preferred configuration has been successfully identified, we retrieve its configuration details and obtain essential attributes such as engine model, displacement liters, certification level, market application, engine type, and fuel system type. These values are then written to the target part record identified in the request. The update operation must also preserve the request UUID so that the correct part receives the selected configuration attributes.</w:t>
      </w:r>
    </w:p>
    <w:p/>
    <w:p>
      <w:r>
        <w:t>Lastly, we must review any additional requirements or exceptions that may have been specified during the original submission. This includes checking for specific discounts, rebates, or other incentives that might impact pricing decisions and ensuring compliance with relevant regulations and industry standards.</w:t>
      </w:r>
    </w:p>
    <w:p/>
    <w:p>
      <w:r>
        <w:t>By following this process, we can ensure accurate pricing adjustments for submitted products and maintain a high level of customer satisfaction while remaining competitive in the market.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