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alternative pricing configurations begins by retrieving all sales transactions associated with the product during the last twelve months. This step is essential to understand how the product has performed across different customer segments and to identify patterns that may influence future pricing decisions.</w:t>
      </w:r>
    </w:p>
    <w:p/>
    <w:p>
      <w:r>
        <w:t>Upon receipt of these transactions, they are grouped by customer segment. The purpose of this grouping is to ensure that performance metrics can be calculated without mixing results from unrelated customer groups. Each segment is evaluated independently, allowing for a more accurate analysis of the product's historical usage.</w:t>
      </w:r>
    </w:p>
    <w:p/>
    <w:p>
      <w:r>
        <w:t>Once the transactions have been grouped and evaluated, the records are compared against a set of predetermined thresholds. These thresholds determine which configurations are considered historically active and should be further analyzed. The threshold for historical activity is defined as at least one engine serial number existing during the last ten years.</w:t>
      </w:r>
    </w:p>
    <w:p/>
    <w:p>
      <w:r>
        <w:t>When comparing the records to these thresholds, it becomes apparent that all three candidate configurations have zero activity during this time period. As a result, automatic processing must stop, and the Windchill service must be triggered. This indicates that none of the candidate configurations have meaningful historical evidence supporting their use.</w:t>
      </w:r>
    </w:p>
    <w:p/>
    <w:p>
      <w:r>
        <w:t>However, if one or more configurations show activity within the last ten years, a trend analysis must be performed. The purpose of this analysis is to identify whether the configuration is becoming more common or less common over time. To achieve this, for each active configuration, two calculations are performed: (1) the number of engine serial numbers built during the most recent five-year period and (2) the number of engine serial numbers built during the earlier five-year period that falls between five and ten years ago.</w:t>
      </w:r>
    </w:p>
    <w:p/>
    <w:p>
      <w:r>
        <w:t>These calculations provide insight into whether the configuration is exhibiting increasing usage or decreasing usage over time. Only configurations whose recent five-year population exceeds their prior five-year population are considered for further analysis. Configurations failing this trend requirement must be discarded, as they do not demonstrate a clear increase in historical usage.</w:t>
      </w:r>
    </w:p>
    <w:p/>
    <w:p>
      <w:r>
        <w:t>Among the remaining configurations, a comparison of the recent five-year counts is performed to select the configuration with the highest value. The selected configuration is treated as the preferred configuration because it demonstrates both historical presence and increasing usage.</w:t>
      </w:r>
    </w:p>
    <w:p/>
    <w:p>
      <w:r>
        <w:t>However, if no configuration survives the evaluation process, the Windchill service must be triggered. This indicates that none of the candidate configurations have meaningful historical evidence supporting their use.</w:t>
      </w:r>
    </w:p>
    <w:p/>
    <w:p>
      <w:r>
        <w:t>When a preferred configuration has been successfully identified, its configuration details are retrieved and used to obtain specific attributes such as engine model, displacement liters, certification level, market application, engine type, and fuel system type. These values are then written to the target part record identified in the request.</w:t>
      </w:r>
    </w:p>
    <w:p/>
    <w:p>
      <w:r>
        <w:t>The update operation must preserve the request UUID so that the correct part receives the selected configuration attributes. This ensures that the correct data is stored in the database and that any future updates or retrievals of the part can be accurately linked to the original request.</w:t>
      </w:r>
    </w:p>
    <w:p/>
    <w:p>
      <w:r>
        <w:t>Once the update operation has completed, the process stops, and the result is preserved for future reference. The selected configuration attributes will now be associated with the target part record, providing a clear and accurate record of the pricing decision made.</w:t>
      </w:r>
    </w:p>
    <w:p/>
    <w:p>
      <w:r>
        <w:t>The narrative flow is as follows:</w:t>
      </w:r>
    </w:p>
    <w:p/>
    <w:p>
      <w:r>
        <w:t>- Retrieves all sales transactions associated with the product during the last twelve months.</w:t>
      </w:r>
    </w:p>
    <w:p>
      <w:r>
        <w:t>- Groups the transactions by customer segment to evaluate performance metrics independently.</w:t>
      </w:r>
    </w:p>
    <w:p>
      <w:r>
        <w:t>- Compares the records against predetermined thresholds for historical activity.</w:t>
      </w:r>
    </w:p>
    <w:p>
      <w:r>
        <w:t>- Stopping processing if no configuration has meaningful historical evidence, triggering the Windchill service.</w:t>
      </w:r>
    </w:p>
    <w:p>
      <w:r>
        <w:t>- Performing trend analysis if one or more configurations show activity within the last ten years.</w:t>
      </w:r>
    </w:p>
    <w:p>
      <w:r>
        <w:t>- Selecting the configuration with the highest recent five-year population that exceeds prior five-year population.</w:t>
      </w:r>
    </w:p>
    <w:p>
      <w:r>
        <w:t>- Writing configuration details to the target part record and preserving the request UUID for accurate data association.</w:t>
      </w:r>
    </w:p>
    <w:p/>
    <w:p>
      <w:r>
        <w:t>This detailed workflow ensures that all business logic, entities, field names, calculations, conditions, thresholds, update operations, insert operations, service invocations, decision paths, and other requirements are preserved exactly as specified.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