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a pricing consultant, I'd like to walk you through the process of evaluating alternative engine configurations for a given product. Our goal is to identify the most historically relevant configuration based on past usage patterns and customer preferences.</w:t>
      </w:r>
    </w:p>
    <w:p/>
    <w:p>
      <w:r>
        <w:t>The process starts by retrieving all sales transactions associated with the product during the last twelve months. This data will give us insights into how the product has performed across different customer segments and help us identify any trends or patterns that may influence future pricing decisions. We'll also be using this data to evaluate the performance of each candidate configuration.</w:t>
      </w:r>
    </w:p>
    <w:p/>
    <w:p>
      <w:r>
        <w:t>Once we have retrieved the relevant transaction data, we group the records by customer segment. This is crucial because we want to ensure that our calculations are accurate without mixing results from unrelated customer groups. By segmenting the data in this way, we can isolate the performance metrics for each segment and analyze them independently.</w:t>
      </w:r>
    </w:p>
    <w:p/>
    <w:p>
      <w:r>
        <w:t>Next, we evaluate each configuration within its respective segment. We calculate the total number of engine serial numbers linked to each configuration that were built within the last ten years. This gives us a clear indication of whether any configuration has been actively used during this period. If all three configurations have zero activity during the last ten years, our process stops and we trigger the Windchill service. This is because there's no historical evidence to support any of the candidate configurations.</w:t>
      </w:r>
    </w:p>
    <w:p/>
    <w:p>
      <w:r>
        <w:t>On the other hand, if one or more configurations show activity within the last ten years, we perform a trend analysis. For each active configuration, we calculate the number of engine serial numbers built during the most recent five-year period and compare it with the number built in earlier five-year periods that fall between five and ten years ago. Our goal here is to identify whether the configuration is becoming more common or less common over time.</w:t>
      </w:r>
    </w:p>
    <w:p/>
    <w:p>
      <w:r>
        <w:t>We focus on configurations whose recent five-year population exceeds their prior five-year population, as these are likely to be the most historically relevant. However, if a configuration fails this trend requirement, it's discarded from further consideration.</w:t>
      </w:r>
    </w:p>
    <w:p/>
    <w:p>
      <w:r>
        <w:t>Once we've narrowed down our options to the remaining configurations, we compare the recent five-year counts and select the configuration with the highest value. The selected configuration is then considered the preferred configuration because it demonstrates both historical presence and increasing usage.</w:t>
      </w:r>
    </w:p>
    <w:p/>
    <w:p>
      <w:r>
        <w:t>When a preferred configuration is successfully identified, we retrieve its configuration details and extract various attributes such as engine model, displacement liters, certification level, market application, engine type, and fuel system type. We then write these values to the target part record specified in the request. Importantly, our update operation preserves the request UUID so that we can ensure the correct part receives the selected configuration attributes.</w:t>
      </w:r>
    </w:p>
    <w:p/>
    <w:p>
      <w:r>
        <w:t>If no configuration survives the evaluation process, we again trigger the Windchill service. However, if a preferred configuration is identified and successfully written to the part record, our process stops here. We have successfully evaluated alternative engine configurations based on historical usage patterns and customer preferences, leading to informed pricing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