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rewritten version of the business requirements in a detailed business process narrative:</w:t>
      </w:r>
    </w:p>
    <w:p/>
    <w:p>
      <w:r>
        <w:t>As a pricing consultant, we need to evaluate alternative configurations for an engine component.</w:t>
      </w:r>
    </w:p>
    <w:p/>
    <w:p>
      <w:r>
        <w:t>Our process starts by retrieving all sales transactions associated with this component during the last twelve months. The purpose of doing so is to understand how the component has performed across different customer segments and identify patterns that may influence future pricing decisions. We're looking at data from past sales, which will help us make informed decisions about potential price changes.</w:t>
      </w:r>
    </w:p>
    <w:p/>
    <w:p>
      <w:r>
        <w:t>Once we have the transactions retrieved, we group them by customer segment. This ensures that performance metrics are calculated independently for each group without mixing results from unrelated customers.</w:t>
      </w:r>
    </w:p>
    <w:p/>
    <w:p>
      <w:r>
        <w:t>Next, we evaluate each segment's records individually to calculate performance metrics. We're looking at factors like sales volume and revenue to gauge the component's popularity within each segment.</w:t>
      </w:r>
    </w:p>
    <w:p/>
    <w:p>
      <w:r>
        <w:t>For each configuration being evaluated, we need to determine its historical activity. This is done by counting engine serial numbers linked to that configuration over a ten-year period. We consider a configuration actively used during this time if it has at least one engine serial number during that period.</w:t>
      </w:r>
    </w:p>
    <w:p/>
    <w:p>
      <w:r>
        <w:t>When retrieving and evaluating transactions for the three candidate configurations, we perform calculations based on these conditions. If any of the candidate configurations have been actively used, we proceed with trend analysis to determine their usage patterns over time.</w:t>
      </w:r>
    </w:p>
    <w:p/>
    <w:p>
      <w:r>
        <w:t>For each active configuration, we calculate:</w:t>
      </w:r>
    </w:p>
    <w:p/>
    <w:p>
      <w:r>
        <w:t>* The total number of engine serial numbers built in the most recent five-year period.</w:t>
      </w:r>
    </w:p>
    <w:p>
      <w:r>
        <w:t>* The number of engine serial numbers built during earlier periods (five years ago and ten years ago).</w:t>
      </w:r>
    </w:p>
    <w:p>
      <w:r>
        <w:t>These calculations help identify whether a configuration is becoming more common or less common over time.</w:t>
      </w:r>
    </w:p>
    <w:p/>
    <w:p>
      <w:r>
        <w:t>We're only considering configurations that have increased their usage in the latest period, as this suggests they're gaining popularity. If other configurations fail to meet this criterion, we discard them from further evaluation.</w:t>
      </w:r>
    </w:p>
    <w:p/>
    <w:p>
      <w:r>
        <w:t>Now that we've narrowed down our options, we compare the recent five-year counts for each remaining configuration and select the one with the highest value. This preferred configuration demonstrates both historical presence and increasing usage.</w:t>
      </w:r>
    </w:p>
    <w:p/>
    <w:p>
      <w:r>
        <w:t>If no configuration survives our evaluation process, we trigger the Windchill service to indicate that none of the candidate configurations have meaningful historical evidence.</w:t>
      </w:r>
    </w:p>
    <w:p/>
    <w:p>
      <w:r>
        <w:t>When a preferred configuration is identified, we retrieve its configuration details, including engine model, displacement liters, certification level, market application, engine type, and fuel system type. These values are crucial for updating the target part record with the selected configuration attributes.</w:t>
      </w:r>
    </w:p>
    <w:p/>
    <w:p>
      <w:r>
        <w:t>To update the target record correctly, we must preserve the request UUID associated with the selection process so that the correct part receives the desired configuration attributes.</w:t>
      </w:r>
    </w:p>
    <w:p/>
    <w:p>
      <w:r>
        <w:t>With this process complete, our work on selecting the most historically relevant engine configuration from the three candidate configurations is finished.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