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rewritten version of the business requirements as a detailed business process narrative:</w:t>
      </w:r>
    </w:p>
    <w:p/>
    <w:p>
      <w:r>
        <w:t>When an automatic configuration selection is required for a part, 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The retrieved transactions are then stored in a temporary database for further analysis. This step is crucial because it allows us to analyze sales performance without relying on historical data that may be incomplete or inaccurate.</w:t>
      </w:r>
    </w:p>
    <w:p/>
    <w:p>
      <w:r>
        <w:t>Once all relevant transactions have been retrieved, the records are grouped by customer segment. Each segment is evaluated independently so that performance metrics can be calculated without mixing results from unrelated customer groups. This ensures that we get a clear picture of how each configuration has performed in different segments.</w:t>
      </w:r>
    </w:p>
    <w:p/>
    <w:p>
      <w:r>
        <w:t>For each segment, we calculate a total sales value and a gross margin percentage for all transactions associated with the product during the last twelve months. The purpose of this calculation is to determine which configurations have generated more revenue and profit for our customers.</w:t>
      </w:r>
    </w:p>
    <w:p/>
    <w:p>
      <w:r>
        <w:t>After calculating these metrics, we review all three configurations individually to ensure that we are considering the top-performing ones. This step is critical because it allows us to select the best configuration for each segment.</w:t>
      </w:r>
    </w:p>
    <w:p/>
    <w:p>
      <w:r>
        <w:t>The evaluation process involves a series of calculations that compare the performance of each configuration over different time periods. We calculate two key metrics: Metric A represents the engine population observed during the last five years, while Metric B represents the engine population observed between five and ten years ago. These metrics are used to determine which configurations have shown stronger recent activity than historical activity.</w:t>
      </w:r>
    </w:p>
    <w:p/>
    <w:p>
      <w:r>
        <w:t>For every candidate configuration, we compare these two metrics to determine eligibility for further analysis. If all three configurations have zero engine population during the last ten years, the evaluation process stops, and processing is routed to Windchill. This means that no preferred configuration can be determined, and it's not worth proceeding with the automatic configuration selection process.</w:t>
      </w:r>
    </w:p>
    <w:p/>
    <w:p>
      <w:r>
        <w:t>If at least one configuration has historical population, we continue with trend analysis. In this phase, we review each remaining configuration individually to ensure that we are considering all possible options. We calculate additional metrics to further refine our evaluation of each configuration.</w:t>
      </w:r>
    </w:p>
    <w:p/>
    <w:p>
      <w:r>
        <w:t>After establishing eligibility, we compare all remaining configurations based on Metric A and determine which ones satisfy the growth requirement. Only configurations where Metric A is greater than Metric B remain eligible for further consideration.</w:t>
      </w:r>
    </w:p>
    <w:p/>
    <w:p>
      <w:r>
        <w:t>Once the preferred configuration has been selected, we locate the matching configuration record in the database. We retrieve engine model, displacement liters, certification level, market application, engine type, and fuel system type from this record to update the target part with these values.</w:t>
      </w:r>
    </w:p>
    <w:p/>
    <w:p>
      <w:r>
        <w:t>Finally, we update the target part using the retrieved values, ensuring that the attributes are applied to the correct part record. The update response must contain the uuid supplied in the request so that the attributes are applied to the correct part record.</w:t>
      </w:r>
    </w:p>
    <w:p/>
    <w:p>
      <w:r>
        <w:t>Once the update is complete, processing stops, and the automatic configuration selection process has successfully completed. The updated part contains the selected configuration's attributes, which can now be used for pricing decisions or other business purposes.</w:t>
      </w:r>
    </w:p>
    <w:p/>
    <w:p>
      <w:r>
        <w:t>The overall goal of this process is to ensure that parts receive the most suitable configuration based on historical sales performance data, allowing us to make more informed pricing decisions and improve customer satisfaction.</w:t>
      </w:r>
    </w:p>
    <w:p/>
    <w:p>
      <w:r>
        <w:t>When another service invocation occurs, such as updating part records in Windchill, we will follow a similar evaluation process using the updated data. This ensures that our automatic configuration selection process is continuously refined and improved over time.</w:t>
      </w:r>
    </w:p>
    <w:p/>
    <w:p>
      <w:r>
        <w:t>In summary, the automatic configuration selection process involves retrieving sales transactions, evaluating configurations, calculating metrics, and selecting the best configuration for each segment. By following this process, we can ensure that parts receive the most suitable configuration based on historical sales performance data, allowing us to make more informed pricing decisions and improve customer satisfaction.</w:t>
      </w:r>
    </w:p>
    <w:p/>
    <w:p>
      <w:r>
        <w:t>The key steps in this process include:</w:t>
      </w:r>
    </w:p>
    <w:p/>
    <w:p>
      <w:r>
        <w:t>1. Retrieving sales transactions</w:t>
      </w:r>
    </w:p>
    <w:p>
      <w:r>
        <w:t>2. Grouping records by customer segment</w:t>
      </w:r>
    </w:p>
    <w:p>
      <w:r>
        <w:t>3. Evaluating each segment independently</w:t>
      </w:r>
    </w:p>
    <w:p>
      <w:r>
        <w:t>4. Calculating total sales value and gross margin percentage</w:t>
      </w:r>
    </w:p>
    <w:p>
      <w:r>
        <w:t>5. Reviewing all three configurations individually</w:t>
      </w:r>
    </w:p>
    <w:p>
      <w:r>
        <w:t>6. Comparing metrics to determine eligibility</w:t>
      </w:r>
    </w:p>
    <w:p>
      <w:r>
        <w:t>7. Continuing with trend analysis for eligible configurations</w:t>
      </w:r>
    </w:p>
    <w:p>
      <w:r>
        <w:t>8. Selecting the preferred configuration</w:t>
      </w:r>
    </w:p>
    <w:p>
      <w:r>
        <w:t>9. Updating the target part with selected attributes</w:t>
      </w:r>
    </w:p>
    <w:p/>
    <w:p>
      <w:r>
        <w:t>These key steps ensure that our automatic configuration selection process is accurate, efficient, and effective in providing the most suitable configuration for each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