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detailed business process narrative rewriting the provided text:</w:t>
      </w:r>
    </w:p>
    <w:p/>
    <w:p>
      <w:r>
        <w:t>A pricing review is required for the submitted product, which involves retrieving and analyzing sales transactions associated with the product over the last twelve months. The goal of this process is to assess performance across different customer segments and identify patterns that may impact future pricing decisions.</w:t>
      </w:r>
    </w:p>
    <w:p/>
    <w:p>
      <w:r>
        <w:t>The process begins by initiating a service invocation to retrieve all relevant sales transactions, specifically those associated with the product during the last twelve months. This involves sending a request to a designated service endpoint, which will return a list of transaction records matching the specified criteria.</w:t>
      </w:r>
    </w:p>
    <w:p/>
    <w:p>
      <w:r>
        <w:t>Upon receipt of the transaction data, the next step is to group the records by customer segment. To accomplish this, the process retrieves the relevant customer segmentation data from a repository or database, which may include information such as customer IDs, segment names, and associated product codes.</w:t>
      </w:r>
    </w:p>
    <w:p/>
    <w:p>
      <w:r>
        <w:t>Once the transactions are grouped by customer segment, each segment's performance metrics need to be calculated independently. This involves evaluating the sales volume, revenue, and profit margins for each transaction within a specific segment. The purpose of this calculation is to understand how the product has performed across different customer segments and identify patterns that may influence future pricing decisions.</w:t>
      </w:r>
    </w:p>
    <w:p/>
    <w:p>
      <w:r>
        <w:t>The records are then evaluated based on predefined conditions, which determine whether further processing should occur. Specifically, the process checks if all three configurations have zero engine population during the last ten years, as specified by a threshold value of 0%. If this condition is met, processing stops, and the service invokes another designated endpoint to route the transaction to Windchill for further handling.</w:t>
      </w:r>
    </w:p>
    <w:p/>
    <w:p>
      <w:r>
        <w:t>However, if at least one configuration has historical population (i.e., engine population observed between five and ten years ago), additional calculations are performed. Specifically, two metrics are calculated: Metric A represents the engine population observed during the last five years, while Metric B represents the engine population observed between five and ten years ago. The process compares these two metrics to determine if a trend of growth exists in the product's performance.</w:t>
      </w:r>
    </w:p>
    <w:p/>
    <w:p>
      <w:r>
        <w:t>Only configurations where Metric A is greater than Metric B are considered eligible for further evaluation. This ensures that the selected configuration is showing stronger recent activity than historical activity. Once eligibility has been established, all remaining configurations are evaluated based on the same metric comparison criteria.</w:t>
      </w:r>
    </w:p>
    <w:p/>
    <w:p>
      <w:r>
        <w:t>To select the preferred configuration, the process compares the values of Metric A across all eligible configurations. The configuration with the highest value of Metric A becomes the preferred configuration. If no configuration satisfies the growth requirement (i.e., Metric A is greater than Metric B), processing stops and routes the transaction to Windchill for further handling.</w:t>
      </w:r>
    </w:p>
    <w:p/>
    <w:p>
      <w:r>
        <w:t>After determining the preferred configuration, the process locates the matching configuration record in a repository or database and retrieves specific attributes from that record, including engine model, displacement liters, certification level, market application, engine type, and fuel system type. This data is then used to update the target part record with the retrieved values.</w:t>
      </w:r>
    </w:p>
    <w:p/>
    <w:p>
      <w:r>
        <w:t>The update response must contain a UUID supplied in the request to ensure that the attributes are applied to the correct part record. The process now contains the updated part records and prepares them for further processing or use in pricing decisions.</w:t>
      </w:r>
    </w:p>
    <w:p/>
    <w:p>
      <w:r>
        <w:t>When processing stops, it indicates that all necessary steps have been completed, and no further updates or calculations need to be performed.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