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version of the business requirements as a detailed business process narrative:</w:t>
      </w:r>
    </w:p>
    <w:p/>
    <w:p>
      <w:r>
        <w:t>Our pricing review process begins with retrieving all sales transactions associated with the product during the last twelve months. This information is crucial in understanding how the product has performed across different customer segments and identifying patterns that may influence future pricing decisions.</w:t>
      </w:r>
    </w:p>
    <w:p/>
    <w:p>
      <w:r>
        <w:t>To accomplish this, we will access our sales transaction database, specifically the "SalesTransactions" entity, which contains relevant details such as transaction date, quantity sold, and revenue generated. We will also need to retrieve data from other entities like "Customers" and "ProductVariants" to ensure accurate analysis of customer segment performance.</w:t>
      </w:r>
    </w:p>
    <w:p/>
    <w:p>
      <w:r>
        <w:t>Once we have retrieved all necessary transactions for the last twelve months, we will group them by customer segment using a combination of customer ID and product variant ID. This grouping is essential to enable us to calculate performance metrics for each segment independently without mixing results from unrelated groups.</w:t>
      </w:r>
    </w:p>
    <w:p/>
    <w:p>
      <w:r>
        <w:t>Upon grouping, we will evaluate each record within its respective customer segment. For this evaluation, we will use the following conditions:</w:t>
      </w:r>
    </w:p>
    <w:p/>
    <w:p>
      <w:r>
        <w:t>1. If any transaction in the last twelve months had a revenue greater than 50% of the average monthly revenue for that product variant across all segments, it is considered for further analysis.</w:t>
      </w:r>
    </w:p>
    <w:p>
      <w:r>
        <w:t>2. If no transactions meet the above condition, they are excluded from further consideration.</w:t>
      </w:r>
    </w:p>
    <w:p/>
    <w:p>
      <w:r>
        <w:t>Next, we will identify historical sales data for each product variant by retrieving data from the "ProductData" entity, which contains information such as the build year and engine serial number associated with each product variant. We will use this data to calculate the engine population over time.</w:t>
      </w:r>
    </w:p>
    <w:p/>
    <w:p>
      <w:r>
        <w:t>To calculate engine population, we will first determine the build year of the engine using information from the engine serial number dataset. We then compare the build year to the current year to establish a timeframe for our analysis.</w:t>
      </w:r>
    </w:p>
    <w:p/>
    <w:p>
      <w:r>
        <w:t>We will consider two metrics:</w:t>
      </w:r>
    </w:p>
    <w:p/>
    <w:p>
      <w:r>
        <w:t>1. Metric A represents the average engine population observed during the last five years.</w:t>
      </w:r>
    </w:p>
    <w:p>
      <w:r>
        <w:t>2. Metric B represents the average engine population observed between five and ten years ago.</w:t>
      </w:r>
    </w:p>
    <w:p/>
    <w:p>
      <w:r>
        <w:t>Once we have identified these metrics, we will use them to determine eligibility criteria for each product variant. The conditions for determining eligibility are as follows:</w:t>
      </w:r>
    </w:p>
    <w:p/>
    <w:p>
      <w:r>
        <w:t>1. If both Metric A and Metric B are greater than 0%, then the product variant is eligible.</w:t>
      </w:r>
    </w:p>
    <w:p>
      <w:r>
        <w:t>2. If either Metric A or Metric B is 0% or less, then the product variant is not eligible.</w:t>
      </w:r>
    </w:p>
    <w:p/>
    <w:p>
      <w:r>
        <w:t>Using these eligibility criteria, we will evaluate all product variants with active sales transactions during the last twelve months to determine which ones meet our performance metrics.</w:t>
      </w:r>
    </w:p>
    <w:p/>
    <w:p>
      <w:r>
        <w:t>For each eligible product variant, we will select one configuration based on a predefined growth requirement. The growth requirement states that only configurations where the current engine population is greater than 90% of the historical average should be considered for selection.</w:t>
      </w:r>
    </w:p>
    <w:p/>
    <w:p>
      <w:r>
        <w:t>Once we have selected an eligible configuration, we will retrieve additional data from the "ProductData" entity to update the target part record with the following attributes:</w:t>
      </w:r>
    </w:p>
    <w:p/>
    <w:p>
      <w:r>
        <w:t>1. Engine Model</w:t>
      </w:r>
    </w:p>
    <w:p>
      <w:r>
        <w:t>2. Displacement Liters</w:t>
      </w:r>
    </w:p>
    <w:p>
      <w:r>
        <w:t>3. Certification Level</w:t>
      </w:r>
    </w:p>
    <w:p>
      <w:r>
        <w:t>4. Market Application</w:t>
      </w:r>
    </w:p>
    <w:p>
      <w:r>
        <w:t>5. Engine Type</w:t>
      </w:r>
    </w:p>
    <w:p>
      <w:r>
        <w:t>6. Fuel System Type</w:t>
      </w:r>
    </w:p>
    <w:p/>
    <w:p>
      <w:r>
        <w:t>To accomplish this update, we will invoke a service called "UpdatePartAttributes" which takes in the UUID of the target part and the attribute data as input parameters.</w:t>
      </w:r>
    </w:p>
    <w:p/>
    <w:p>
      <w:r>
        <w:t>This service is responsible for updating the target part record with the retrieved attributes while ensuring that the requested attributes are applied to the correct part record.</w:t>
      </w:r>
    </w:p>
    <w:p/>
    <w:p>
      <w:r>
        <w:t>If no configuration satisfies our growth requirement, we will route processing to Windchill because no preferred configuration can be determined.</w:t>
      </w:r>
    </w:p>
    <w:p/>
    <w:p>
      <w:r>
        <w:t>The workflow concludes when we have successfully updated the target part record with the new attribute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