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To initiate the pricing review, all relevant information related to the submitted product must be received. This includes any necessary documentation, such as sales transactions, customer data, and configuration details.</w:t>
      </w:r>
    </w:p>
    <w:p/>
    <w:p>
      <w:r>
        <w:t>The first step in the process involves retrieving all sales transactions associated with the product during the last twelve months. The purpose of this retrieval is twofold: it allows us to understand how the product has performed across different customer segments and identify patterns that may influence future pricing decisions. Additionally, by analyzing these transactions, we can gather data on the product's performance history, which will be essential for making informed pricing decisions.</w:t>
      </w:r>
    </w:p>
    <w:p/>
    <w:p>
      <w:r>
        <w:t>Once all relevant sales transactions have been retrieved, they must be grouped by customer segment. This grouping is crucial because it enables us to evaluate each segment independently, ensuring that performance metrics are calculated without mixing results from unrelated customer groups. By doing so, we can accurately assess the product's performance in each segment and make more informed pricing decisions.</w:t>
      </w:r>
    </w:p>
    <w:p/>
    <w:p>
      <w:r>
        <w:t>Upon grouping the transactions by customer segment, each group must be evaluated individually. This evaluation is critical because it allows us to understand how the product has performed within specific segments and identify any trends or patterns that may influence pricing decisions. By examining each segment separately, we can ensure that our analysis is thorough and accurate.</w:t>
      </w:r>
    </w:p>
    <w:p/>
    <w:p>
      <w:r>
        <w:t>While evaluating each segment, performance metrics will be calculated for each group. These metrics are essential because they provide a clear understanding of how the product has performed in each segment, which will inform our pricing decisions. By calculating these metrics, we can assess the product's performance in different customer segments and make more informed decisions about pricing.</w:t>
      </w:r>
    </w:p>
    <w:p/>
    <w:p>
      <w:r>
        <w:t>One of the key metrics that will be used to evaluate the product's performance is a calculation based on historical data. Specifically, for every candidate configuration, two metrics will be calculated:</w:t>
      </w:r>
    </w:p>
    <w:p/>
    <w:p>
      <w:r>
        <w:t>Metric A represents the engine population observed during the last five years. This metric provides insight into recent activity related to the configuration.</w:t>
      </w:r>
    </w:p>
    <w:p>
      <w:r>
        <w:t>Metric B represents the engine population observed between five and ten years ago. This metric offers a snapshot of historical activity related to the configuration.</w:t>
      </w:r>
    </w:p>
    <w:p/>
    <w:p>
      <w:r>
        <w:t>These metrics are critical because they allow us to compare the product's performance in different time periods, providing valuable insights that will inform our pricing decisions. By examining these metrics, we can determine which configurations have shown stronger recent activity than historical activity and make more informed decisions about pricing.</w:t>
      </w:r>
    </w:p>
    <w:p/>
    <w:p>
      <w:r>
        <w:t>The next step involves comparing these metrics for each configuration. Specifically, only configurations where Metric A is greater than Metric B should remain eligible. This is because this comparison provides a clear indication of which configurations are showing stronger recent activity than historical activity, making it easier to select the optimal configuration for pricing purposes.</w:t>
      </w:r>
    </w:p>
    <w:p/>
    <w:p>
      <w:r>
        <w:t>If at least one configuration has historical population, then the evaluation process continues with trend analysis. This involves analyzing the trends in engine population over time for each eligible configuration, providing further insights into their performance and helping us make more informed decisions about pricing.</w:t>
      </w:r>
    </w:p>
    <w:p/>
    <w:p>
      <w:r>
        <w:t>Once eligibility has been established, all remaining configurations must be compared based on their Metric A values. The configuration with the largest value of Metric A is selected as the preferred configuration, ensuring that the most recent activity is taken into account when determining the optimal price for the product.</w:t>
      </w:r>
    </w:p>
    <w:p/>
    <w:p>
      <w:r>
        <w:t>If no configuration satisfies the growth requirement, the process stops and routes processing to Windchill because no preferred configuration can be determined. This ensures that we do not attempt to select a configuration that does not meet our criteria, potentially leading to inaccurate pricing decisions.</w:t>
      </w:r>
    </w:p>
    <w:p/>
    <w:p>
      <w:r>
        <w:t>After the preferred configuration has been selected, the matching configuration record must be located. From this record, specific values such as engine model, displacement liters, certification level, market application, engine type, and fuel system type can be retrieved.</w:t>
      </w:r>
    </w:p>
    <w:p/>
    <w:p>
      <w:r>
        <w:t>Finally, these retrieved values will be used to update the target part using the relevant information from the configuration record. The update response must include the uuid supplied in the request so that the attributes are applied to the correct part record. This ensures that the updated information is correctly associated with the intended part record and provides accurate pricing data.</w:t>
      </w:r>
    </w:p>
    <w:p/>
    <w:p>
      <w:r>
        <w:t>This process is complete when the target part has been successfully updated, and all necessary information has been incorporated into the part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