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determining suitable product variants begins by retrieving all sales transactions associated with the product in question during the last twelve months. This step is essential to comprehend how the product has performed across various customer segments, which is vital information for informing pricing decisions.</w:t>
      </w:r>
    </w:p>
    <w:p/>
    <w:p>
      <w:r>
        <w:t>Once the transactions have been retrieved, the records are grouped by customer segment. It's crucial to evaluate each segment independently so that performance metrics can be calculated without mixing results from unrelated customer groups. This approach ensures that comparisons within each segment are accurate and reliable, allowing for a fair assessment of product performance across different market segments.</w:t>
      </w:r>
    </w:p>
    <w:p/>
    <w:p>
      <w:r>
        <w:t>After grouping the transactions by customer segment, the next step involves evaluating each record within those segments. The purpose of this evaluation is to identify patterns or trends in product usage that may influence pricing decisions. This analysis will inform the calculation of various key performance indicators (KPIs) used to determine the suitability of different product variants.</w:t>
      </w:r>
    </w:p>
    <w:p/>
    <w:p>
      <w:r>
        <w:t>The records are evaluated based on specific criteria, including the quantity sold, revenue generated, and customer satisfaction ratings. The evaluation process involves comparing these metrics across various segments to identify areas where products are performing exceptionally well or struggling. This analysis will help inform pricing decisions by providing insights into customer preferences and market trends.</w:t>
      </w:r>
    </w:p>
    <w:p/>
    <w:p>
      <w:r>
        <w:t>To perform this evaluation, we use a set of predefined rules that take into account the sales data from each segment. These rules involve complex calculations, such as calculating the average revenue per unit sold, the percentage of customers who purchased the product along with other complementary items, and the overall satisfaction rating for each segment.</w:t>
      </w:r>
    </w:p>
    <w:p/>
    <w:p>
      <w:r>
        <w:t>Once the records have been evaluated, the results are used to determine which product variants meet the specified criteria. The evaluation process involves comparing the performance metrics across various segments to identify areas where products are excelling or underperforming. This comparison will inform pricing decisions by providing insights into customer preferences and market trends.</w:t>
      </w:r>
    </w:p>
    <w:p/>
    <w:p>
      <w:r>
        <w:t>If a segment meets the specified criteria, it means that the product variant is considered suitable for use in that market segment. In this case, we update our internal records to reflect the new pricing information for each relevant product variant. We also trigger an email notification to relevant stakeholders to inform them of the changes and provide recommendations for implementation.</w:t>
      </w:r>
    </w:p>
    <w:p/>
    <w:p>
      <w:r>
        <w:t>However, if a segment does not meet the specified criteria, it means that the product variant is considered unsuitable for use in that market segment. In this case, we do not update our internal records with new pricing information for that product variant and instead trigger an email notification to relevant stakeholders to inform them of the changes and provide recommendations for alternative solutions.</w:t>
      </w:r>
    </w:p>
    <w:p/>
    <w:p>
      <w:r>
        <w:t>Throughout the evaluation process, we maintain a list of product variants that meet the specified criteria. This list is used to determine which products are eligible for automatic configuration assignment based on historical engine activity.</w:t>
      </w:r>
    </w:p>
    <w:p/>
    <w:p>
      <w:r>
        <w:t>Once we have identified the suitable product variants, we proceed with the next step in the process. We check if all three highest-ranked design configurations exist for each suitable product variant. These configurations should be evaluated before any configuration attributes are copied to the target part.</w:t>
      </w:r>
    </w:p>
    <w:p/>
    <w:p>
      <w:r>
        <w:t>For every configuration, we determine how many engine serial numbers are associated with that configuration during the last ten years. Only engine records whose build year falls within the most recent ten-year period should be included in this calculation. This ensures that we're considering only historical activity that is relevant to our current analysis.</w:t>
      </w:r>
    </w:p>
    <w:p/>
    <w:p>
      <w:r>
        <w:t>If all three configurations show zero engine population during the last ten years, automatic processing must not continue. In this situation, we invoke the Windchill service because there is insufficient historical evidence to justify selecting any of the candidate configurations.</w:t>
      </w:r>
    </w:p>
    <w:p/>
    <w:p>
      <w:r>
        <w:t>However, if at least one configuration demonstrates historical presence, we proceed with a trend comparison. For each configuration, we calculate the number of engine serial numbers built during the most recent five-year period. This value represents current configuration adoption.</w:t>
      </w:r>
    </w:p>
    <w:p/>
    <w:p>
      <w:r>
        <w:t>We also calculate the number of engine serial numbers built during the earlier five-year period that falls between five and ten years ago. This value represents historical adoption. By comparing these two values for each configuration, we can identify which configurations have demonstrated increasing usage over time.</w:t>
      </w:r>
    </w:p>
    <w:p/>
    <w:p>
      <w:r>
        <w:t>Only configurations where recent adoption exceeds historical adoption should remain eligible for consideration. We eliminate any configurations that fail this trend requirement from the list of suitable product variants.</w:t>
      </w:r>
    </w:p>
    <w:p/>
    <w:p>
      <w:r>
        <w:t>After eliminating configurations that fail the trend rules, we compare the remaining candidates to select the configuration with the largest recent five-year engine population. This configuration is considered the preferred configuration because it demonstrates both historical presence and increasing usage.</w:t>
      </w:r>
    </w:p>
    <w:p/>
    <w:p>
      <w:r>
        <w:t>However, if no configuration remains eligible after applying the trend rules, we invoke the Windchill service. In this case, we update our internal records to reflect that there is insufficient historical activity to justify selecting any of the candidate configurations.</w:t>
      </w:r>
    </w:p>
    <w:p/>
    <w:p>
      <w:r>
        <w:t>Once the selected configuration has been determined, we retrieve the corresponding configuration details and obtain engine model, displacement liters, certification level, market application, engine type, and fuel system type. We use these values to update the target part using the request uuid to identify the part record that should be updated.</w:t>
      </w:r>
    </w:p>
    <w:p/>
    <w:p>
      <w:r>
        <w:t>This completes the process for determining suitable product variants based on historical engine activity. The selected configuration will now be used as the basis for automatic configuration assignment, ensuring that our products are optimized for customer needs and market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