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for determining whether sufficient historical data exists to support automatic configuration assignment begins by retrieving all sales transactions associated with the product during the last twelve months. This information is crucial in understanding how the product has performed across different customer segments and identifying patterns that may influence future pricing decisions.</w:t>
      </w:r>
    </w:p>
    <w:p/>
    <w:p>
      <w:r>
        <w:t>Once the transactions have been retrieved, the records are grouped by customer segment. Each segment is evaluated independently to ensure performance metrics can be calculated without mixing results from unrelated customer groups. This segregation of data prevents any potential skewing or distortion in the analysis.</w:t>
      </w:r>
    </w:p>
    <w:p/>
    <w:p>
      <w:r>
        <w:t>Next, for each segment, the engine serial numbers associated with that configuration during the last ten years are determined. Only engine records whose build year falls within the most recent ten-year period are included in this calculation. This ensures that only relevant historical data is considered, reducing the risk of using outdated information.</w:t>
      </w:r>
    </w:p>
    <w:p/>
    <w:p>
      <w:r>
        <w:t>The existence of historical activity is a prerequisite for automatic selection. If all three configurations show zero engine population during the last ten years, automatic processing must not continue. In this situation, the workflow should invoke the Windchill service because there is insufficient historical evidence to justify selecting any of the candidate configurations. This step ensures that the process does not continue with incomplete or inaccurate data.</w:t>
      </w:r>
    </w:p>
    <w:p/>
    <w:p>
      <w:r>
        <w:t>When at least one candidate configuration demonstrates historical presence, a trend comparison is performed for each configuration. The number of engine serial numbers built during the most recent five-year period represents current configuration adoption, while the value calculated for the earlier five-year period represents historical adoption. This allows for a direct comparison of the usage patterns and helps in making informed decisions.</w:t>
      </w:r>
    </w:p>
    <w:p/>
    <w:p>
      <w:r>
        <w:t>Next, to evaluate the trend, a calculation is performed by subtracting the number of engine serial numbers built during the earlier five-year period from those built in the most recent five-year period. Only configurations where recent adoption exceeds historical adoption remain eligible for consideration. This step ensures that only those configurations with demonstrated growth and stability are considered.</w:t>
      </w:r>
    </w:p>
    <w:p/>
    <w:p>
      <w:r>
        <w:t>After eliminating configurations that fail the trend requirement, a comparison is made between the remaining candidates. The configuration with the largest recent five-year engine population is selected as the preferred configuration because it demonstrates both historical presence and increasing usage. This selection criterion provides confidence in the choice of the best available configuration.</w:t>
      </w:r>
    </w:p>
    <w:p/>
    <w:p>
      <w:r>
        <w:t>If no configuration remains eligible after applying the trend rules, invoke the Windchill service. In this scenario, there is insufficient evidence to support automatic processing, and external validation is necessary to ensure compliance with business requirements.</w:t>
      </w:r>
    </w:p>
    <w:p/>
    <w:p>
      <w:r>
        <w:t>For the selected configuration, a service invocation occurs to retrieve the corresponding configuration details. The required information includes engine model, displacement liters, certification level, market application, engine type, and fuel system type. These values are then used to update the target part record using the request UUID for identification purposes. This final step ensures that all relevant data is incorporated into the part record.</w:t>
      </w:r>
    </w:p>
    <w:p/>
    <w:p>
      <w:r>
        <w:t>Once all configuration details have been obtained, the process stops, having successfully completed its primary objective.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