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the rewritten business process narrative:</w:t>
      </w:r>
    </w:p>
    <w:p/>
    <w:p>
      <w:r>
        <w:t>The pricing review begins by initiating a retrieval of all sales transactions associated with the specified product over the last twelve months. The primary objective of this step is to gather comprehensive data on how the product has performed across various customer segments, thereby enabling the identification of trends and patterns that may influence future pricing decisions.</w:t>
      </w:r>
    </w:p>
    <w:p/>
    <w:p>
      <w:r>
        <w:t>Once the relevant transaction data have been retrieved from the database, they are then grouped by customer segment. This grouping allows for independent evaluation of performance metrics within each group without the potential for results to be skewed or contaminated by data from other unrelated customer segments.</w:t>
      </w:r>
    </w:p>
    <w:p/>
    <w:p>
      <w:r>
        <w:t>Next, the records from each segment are evaluated individually to enable the calculation of specific performance metrics that accurately reflect the product's usage patterns within that particular segment. These performance metrics serve as a critical component in determining the optimal pricing strategy moving forward.</w:t>
      </w:r>
    </w:p>
    <w:p/>
    <w:p>
      <w:r>
        <w:t>Prior to proceeding with the evaluation process, it is essential to confirm that the retrieved data meet certain predetermined thresholds to ensure their relevance and integrity. Specifically, these thresholds dictate a minimum period of activity during which sales transactions must have been recorded in order for them to be considered valid inputs into the evaluation framework.</w:t>
      </w:r>
    </w:p>
    <w:p/>
    <w:p>
      <w:r>
        <w:t>With the requirements for a complete dataset established, the system proceeds to calculate specific performance metrics that reflect various aspects of product usage patterns across different customer segments. These metrics are calculated based on historical data that has been aggregated and grouped by segment, thereby allowing for accurate analysis and comparison within each group.</w:t>
      </w:r>
    </w:p>
    <w:p/>
    <w:p>
      <w:r>
        <w:t>Once these performance metrics have been computed, they are then subjected to a series of checks and balances designed to ensure their accuracy and reliability. Specifically, this involves the application of a set of predetermined conditions or thresholds that determine whether or not the calculated values meet certain predefined standards.</w:t>
      </w:r>
    </w:p>
    <w:p/>
    <w:p>
      <w:r>
        <w:t>If none of the candidates meet these threshold requirements, it implies that there is insufficient data or no reliable historical basis for automatic selection of an optimal pricing strategy. In such cases, the system should redirect processing to Windchill, a service that will be responsible for further analysis and determination of the most suitable course of action.</w:t>
      </w:r>
    </w:p>
    <w:p/>
    <w:p>
      <w:r>
        <w:t>Conversely, if at least one candidate does meet these threshold requirements, it indicates that there is sufficient data available to warrant further evaluation of its performance metrics. At this stage, the system proceeds with recency analysis, which involves the calculation of two distinct performance metrics: one representing the number of engines built during the most recent five-year period and another indicating the number of engines constructed during the preceding five-year period.</w:t>
      </w:r>
    </w:p>
    <w:p/>
    <w:p>
      <w:r>
        <w:t>These values are then compared in a ratio that quantifies their relative relevance to current usage patterns. If this ratio indicates that the more recent value exceeds the older count, it supports the conclusion that the configuration is currently more relevant than its historical counterpart.</w:t>
      </w:r>
    </w:p>
    <w:p/>
    <w:p>
      <w:r>
        <w:t>Subsequent to the completion of recency analysis, the system proceeds with an evaluation of the comparative performance metrics among all remaining candidates. The objective here is to identify which configuration exhibits the highest level of engagement or relevance within its respective customer segment.</w:t>
      </w:r>
    </w:p>
    <w:p/>
    <w:p>
      <w:r>
        <w:t>If no single configuration satisfies this requirement, it implies that there are insufficient data points to support a reliable conclusion regarding optimal pricing strategies for any particular candidate. In such cases, automatic assignment should be rejected and Windchill should be notified to assume responsibility for further analysis and determination of the most suitable course of action.</w:t>
      </w:r>
    </w:p>
    <w:p/>
    <w:p>
      <w:r>
        <w:t>Once a valid candidate has been determined through comparison of comparative performance metrics, the system proceeds with extracting specific attributes from the associated configuration record. These attributes include engine model, displacement liters, certification level, market application, engine type, and fuel system type.</w:t>
      </w:r>
    </w:p>
    <w:p/>
    <w:p>
      <w:r>
        <w:t>These extracted attributes are then used to update the target part record, preserving the UUID supplied in the initial request while incorporating these newly determined values.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