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receiving a request from an external source, which is then processed to determine the most accurate representation of current engine usage patterns.</w:t>
      </w:r>
    </w:p>
    <w:p/>
    <w:p>
      <w:r>
        <w:t>To initiate this process, we retrieve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information serves as a foundation for our subsequent analysis.</w:t>
      </w:r>
    </w:p>
    <w:p/>
    <w:p>
      <w:r>
        <w:t>Once the transactions have been retrieved, the records are grouped by customer segment. Each segment is evaluated independently so that performance metrics can be calculated without mixing results from unrelated customer groups. This step ensures that we isolate each customer group's performance to accurately assess its influence on pricing decisions.</w:t>
      </w:r>
    </w:p>
    <w:p/>
    <w:p>
      <w:r>
        <w:t>Next, we perform a qualification check on each configuration candidate by counting the number of engine serial numbers associated with each configuration where the build year falls within the last ten years. If none of the candidate configurations appear in the engine population during the last ten years, no reliable historical basis exists for automatic selection. In this case, processing transfers to Windchill, and we cannot proceed.</w:t>
      </w:r>
    </w:p>
    <w:p/>
    <w:p>
      <w:r>
        <w:t>If at least one configuration has a historical population, we continue by performing a recency analysis. For each configuration, we calculate the number of engines built during the last five years. Then, we calculate the number of engines built during the five-year period immediately preceding that. By comparing these two values, we can determine which configuration is currently more relevant than it was historically.</w:t>
      </w:r>
    </w:p>
    <w:p/>
    <w:p>
      <w:r>
        <w:t>A configuration should only remain eligible if the recent count exceeds the older count. If this condition is not met, we consider the configuration less reliable and proceed to evaluate the remaining candidates. This step ensures that we prioritize configurations with more up-to-date performance data.</w:t>
      </w:r>
    </w:p>
    <w:p/>
    <w:p>
      <w:r>
        <w:t>After evaluating all three candidate configurations, we compare the recent five-year counts of the remaining configurations. The configuration with the highest recent count should be selected. If no configuration satisfies the growth requirement, automatic assignment should not occur and the Windchill service should be triggered.</w:t>
      </w:r>
    </w:p>
    <w:p/>
    <w:p>
      <w:r>
        <w:t>Once a configuration has been selected, we use the configuration code to retrieve the associated configuration record from Windchill. We extract the engine model, displacement liters, certification level, market application, engine type, and fuel system type from this record. These attributes are then used to update the target part record with these values while preserving the uuid supplied in the request.</w:t>
      </w:r>
    </w:p>
    <w:p/>
    <w:p>
      <w:r>
        <w:t>We must also ensure that any updates made to the target part record do not overwrite existing data. This is achieved by verifying the presence of the uuid field before making updates, and only updating fields that have changed or been added as a result of our analysis.</w:t>
      </w:r>
    </w:p>
    <w:p/>
    <w:p>
      <w:r>
        <w:t>Once all necessary updates have been made to the target part record, processing stops, and we can conclude that the most accurate representation of current engine usage patterns has been identified.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