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pricing review process begins by initiating a data retrieval operation. We need to fetch all sales transactions associated with our product during the last twelve months. The purpose of this step is crucial; it allows us to analyze how our product has performed across different customer segments and identify patterns that may influence future pricing decisions.</w:t>
      </w:r>
    </w:p>
    <w:p/>
    <w:p>
      <w:r>
        <w:t>To accomplish this, we will execute a service invocation, specifically designed to retrieve historical data from our database. This query will fetch the relevant transaction records along with the associated customer segment information, which is essential for grouping the records later in the process.</w:t>
      </w:r>
    </w:p>
    <w:p/>
    <w:p>
      <w:r>
        <w:t>Once all transactions have been retrieved, we need to group these records by customer segment. This grouping is critical because it enables us to calculate performance metrics separately for each segment without mixing results from unrelated customer groups. We will create separate lists of transactions for each segment and analyze their performance independently.</w:t>
      </w:r>
    </w:p>
    <w:p/>
    <w:p>
      <w:r>
        <w:t>The next step involves evaluating each record within a segment. To do this, we execute another service invocation to retrieve the engine serial number history for each configuration that was shortlisted earlier. The purpose of this operation is to determine which configurations have a reliable historical basis, as indicated by the presence of engine serial numbers within the last ten years.</w:t>
      </w:r>
    </w:p>
    <w:p/>
    <w:p>
      <w:r>
        <w:t>The evaluation process involves performing two separate calculations: (1) counting the number of engines associated with each configuration that were built during the last ten years; and (2) comparing these counts. If at least one configuration has historical population, we proceed to perform a recency analysis.</w:t>
      </w:r>
    </w:p>
    <w:p/>
    <w:p>
      <w:r>
        <w:t>During this step, we calculate the number of engines built during the last five years for each eligible configuration. We then calculate the number of engines built during the five-year period immediately preceding that period. The comparison between these two values is crucial; a configuration should only remain eligible if the recent count exceeds the older count. This indicates that the configuration is currently more relevant than it was historically.</w:t>
      </w:r>
    </w:p>
    <w:p/>
    <w:p>
      <w:r>
        <w:t>After evaluating all three candidate configurations, we need to compare the recent five-year counts of the remaining configurations to determine which one has the highest value. The configuration with the highest recent count will be selected.</w:t>
      </w:r>
    </w:p>
    <w:p/>
    <w:p>
      <w:r>
        <w:t>However, there's an additional consideration: if no configuration satisfies the growth requirement, automatic assignment should not occur. In this case, we trigger a separate service invocation to communicate with Windchill, as the process cannot proceed without further evaluation.</w:t>
      </w:r>
    </w:p>
    <w:p/>
    <w:p>
      <w:r>
        <w:t>Once a configuration has been selected, we need to extract certain attributes associated with that record. We use another service invocation to retrieve these attributes: engine model, displacement liters, certification level, market application, engine type, and fuel system type.</w:t>
      </w:r>
    </w:p>
    <w:p/>
    <w:p>
      <w:r>
        <w:t>We update the target part record with these attributes while preserving the uuid supplied in the request. This ensures that our pricing review process is accurate and comprehensive, providing us with a solid foundation for making informed decisions about future product pricing.</w:t>
      </w:r>
    </w:p>
    <w:p/>
    <w:p>
      <w:r>
        <w:t>Finally, we conclude this process by verifying that all necessary steps have been executed successfully. When another service is triggered or if an error occurs during any part of this workflow, our system will automatically stop processing and notify the relevant teams to investigate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