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business process narrative:</w:t>
      </w:r>
    </w:p>
    <w:p/>
    <w:p>
      <w:r>
        <w:t>To determine which of three candidate design configurations most accurately represents current engine usage patterns, we need to evaluate each configuration against our historical data.</w:t>
      </w:r>
    </w:p>
    <w:p/>
    <w:p>
      <w:r>
        <w:t>First, we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Once the transactions have been retrieved, we group them by customer segment. Each segment will be evaluated independently so that performance metrics can be calculated without mixing results from unrelated customer groups. This ensures that we can accurately compare the performance of each configuration within its respective market application.</w:t>
      </w:r>
    </w:p>
    <w:p/>
    <w:p>
      <w:r>
        <w:t>Next, we evaluate each candidate configuration against our engine serial number history. We need to count the number of engine serial numbers associated with each configuration where the build year falls within the last ten years. If a configuration does not appear in this population during the last ten years, it may not have enough historical data to support automatic selection.</w:t>
      </w:r>
    </w:p>
    <w:p/>
    <w:p>
      <w:r>
        <w:t>If none of the candidate configurations meet this qualification check, we transfer processing to Windchill. This is because without sufficient historical data, we cannot make an informed decision about which configuration is currently most relevant.</w:t>
      </w:r>
    </w:p>
    <w:p/>
    <w:p>
      <w:r>
        <w:t>However, if at least one configuration has historical population, we continue with a recency analysis. For each configuration, we need to calculate the number of engines built during the last five years and compare this value to the number of engines built during the five-year period immediately preceding that.</w:t>
      </w:r>
    </w:p>
    <w:p/>
    <w:p>
      <w:r>
        <w:t>A configuration should only remain eligible if the recent count exceeds the older count. This indicates that the configuration is currently more relevant than it was historically. If a configuration does not meet this growth requirement, it will be eliminated from consideration.</w:t>
      </w:r>
    </w:p>
    <w:p/>
    <w:p>
      <w:r>
        <w:t>After evaluating all three candidates, we compare their recent five-year counts to determine which configuration is most current and relevant. The configuration with the highest recent count should be selected as our top choice.</w:t>
      </w:r>
    </w:p>
    <w:p/>
    <w:p>
      <w:r>
        <w:t>If no configuration satisfies this growth requirement, automatic assignment should not occur, and we trigger the Windchill service. This is because without sufficient historical data or a demonstrated track record of success, we cannot confidently select one configuration over another.</w:t>
      </w:r>
    </w:p>
    <w:p/>
    <w:p>
      <w:r>
        <w:t>Once a configuration has been selected, we use its code to retrieve the associated configuration record from our database. We then extract various attributes from this record, including engine model, displacement liters, certification level, market application, engine type, and fuel system type.</w:t>
      </w:r>
    </w:p>
    <w:p/>
    <w:p>
      <w:r>
        <w:t>Finally, we update the target part record with these attributes while preserving the UUID supplied in the original request. This ensures that any changes made to the configuration are reflected accurately in our master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