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the submitted product requires a thorough analysis of historical sales transactions.</w:t>
      </w:r>
    </w:p>
    <w:p/>
    <w:p>
      <w:r>
        <w:t>First, we need to retrieve all relevant sales transactions associated with the product during the last twelve months. This data will help us understand how the product has performed across different customer segments and identify patterns that may influence future pricing decisions. The purpose of this step is to gather comprehensive information about the product's sales performance over a specific period.</w:t>
      </w:r>
    </w:p>
    <w:p/>
    <w:p>
      <w:r>
        <w:t>Once we have retrieved these transactions, we need to group them by customer segment. Each segment will be evaluated independently so that performance metrics can be calculated without mixing results from unrelated customer groups. This ensures that our analysis is accurate and reliable.</w:t>
      </w:r>
    </w:p>
    <w:p/>
    <w:p>
      <w:r>
        <w:t>Next, we will assess each segment individually. We will calculate key performance indicators (KPIs) for each segment, such as revenue growth rate, customer retention rate, and average order value. These KPIs will help us understand the strengths and weaknesses of each segment and make informed decisions about pricing adjustments.</w:t>
      </w:r>
    </w:p>
    <w:p/>
    <w:p>
      <w:r>
        <w:t>For each segment, we will evaluate its overall performance metrics against predetermined thresholds. If a segment's performance exceeds these thresholds, it may be considered for price adjustments. Conversely, if a segment's performance falls below these thresholds, it may be subject to additional scrutiny or further analysis.</w:t>
      </w:r>
    </w:p>
    <w:p/>
    <w:p>
      <w:r>
        <w:t>We will also examine trends and patterns in the data to identify potential opportunities for pricing optimization. This may involve analyzing factors such as seasonality, regional preferences, or competitor activity. By identifying these trends, we can make more informed decisions about how to position our product in the market.</w:t>
      </w:r>
    </w:p>
    <w:p/>
    <w:p>
      <w:r>
        <w:t>Now, let's consider the threshold values that will be used to determine which segments are eligible for price adjustments. These thresholds will be based on historical data and may include factors such as revenue growth rate, customer retention rate, or average order value. We will apply these thresholds to each segment's performance metrics to identify those that meet or exceed them.</w:t>
      </w:r>
    </w:p>
    <w:p/>
    <w:p>
      <w:r>
        <w:t>If a segment meets the threshold values, we will proceed with pricing adjustments accordingly. This may involve increasing prices for segments that are performing well above target or reducing prices for segments that are struggling to meet expectations. The goal of these adjustments is to optimize revenue growth and profitability while also maintaining competitiveness in the market.</w:t>
      </w:r>
    </w:p>
    <w:p/>
    <w:p>
      <w:r>
        <w:t>We will continue our analysis until all relevant data has been evaluated. Once we have completed our review, we will update the target part record with any necessary configuration attributes. These attributes may include engine model, displacement liters, certification level, market application, engine type, and fuel system type.</w:t>
      </w:r>
    </w:p>
    <w:p/>
    <w:p>
      <w:r>
        <w:t>For the selected configuration, we will retrieve all relevant configuration attributes to ensure that they are accurate and up-to-date. This is critical to maintaining the integrity of our pricing analysis and ensuring that our recommendations are based on the most current information available.</w:t>
      </w:r>
    </w:p>
    <w:p/>
    <w:p>
      <w:r>
        <w:t>Once we have retrieved these attributes, we can update the target part record with the corresponding values. This will reflect any necessary price adjustments or configuration changes in our product offerings.</w:t>
      </w:r>
    </w:p>
    <w:p/>
    <w:p>
      <w:r>
        <w:t>Now, let's consider the Windchill service invocation. If none of the configurations meet the threshold values, we will invoke the Windchill service and stop further evaluation. This is because the absence of sufficient data makes it impossible to make informed pricing decisions.</w:t>
      </w:r>
    </w:p>
    <w:p/>
    <w:p>
      <w:r>
        <w:t>On the other hand, if at least one configuration meets the threshold values, we will proceed with further analysis, including trend analysis and comparison of recent five-year counts for all remaining candidates. The goal is to identify the configuration with the highest value and ensure that our recommendations are based on the most competitive and profitable options available.</w:t>
      </w:r>
    </w:p>
    <w:p/>
    <w:p>
      <w:r>
        <w:t>As we near the end of our process, we need to consider when updates occur. Updates will be triggered whenever there is a change in configuration attributes or other relevant data. This ensures that our pricing analysis remains accurate and reflects any necessary adjustments to our product offerings.</w:t>
      </w:r>
    </w:p>
    <w:p/>
    <w:p>
      <w:r>
        <w:t>Insert operations will also be performed during this process. When new data becomes available, such as changes in customer behavior or market trends, we will insert these updates into our system to reflect the latest information.</w:t>
      </w:r>
    </w:p>
    <w:p/>
    <w:p>
      <w:r>
        <w:t>The final step in our process is when processing stops. This occurs when all relevant data has been evaluated, and pricing adjustments have been made. At this point, our analysis is complete, and we can confidently recommend price changes to support optimized revenue growth and profitability.</w:t>
      </w:r>
    </w:p>
    <w:p/>
    <w:p>
      <w:r>
        <w:t>However, before we conclude, let's consider when another service might be triggered. If additional services are required to support our findings or recommendations, such as market research or competitor analysis, we will invoke these services accordingly. Our goal is to provide comprehensive and actionable insights to inform pricing decisions, while also ensuring that our product offerings remain competitive and profitable.</w:t>
      </w:r>
    </w:p>
    <w:p/>
    <w:p>
      <w:r>
        <w:t>Therefore, the pricing review process for the submitted product involves a thorough analysis of historical sales transactions, grouping by customer segment, evaluation against thresholds, trend analysis, comparison, and updates to configuration attributes. Our goal is to optimize revenue growth and profitability while maintaining competitiveness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