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begins with retrieving all sales transactions associated with the product during the last twelve months. This information is crucial for understanding how the product has performed across different customer segments and identifying patterns that may influence future pricing decisions.</w:t>
      </w:r>
    </w:p>
    <w:p/>
    <w:p>
      <w:r>
        <w:t>Upon receiving these transaction records, they are grouped by customer segment to ensure that performance metrics are calculated independently without mixing results from unrelated customer groups. Each segment's evaluation allows for a more accurate representation of the product's performance in specific markets or industries.</w:t>
      </w:r>
    </w:p>
    <w:p/>
    <w:p>
      <w:r>
        <w:t>Next, the records within each segment undergo an analysis to calculate performance metrics such as sales volume, revenue growth, and market share. These metrics are used to assess the product's overall health and identify areas that require attention.</w:t>
      </w:r>
    </w:p>
    <w:p/>
    <w:p>
      <w:r>
        <w:t>During this stage, specific thresholds are applied to determine if the product is performing adequately in a particular segment. For instance, if the average sales volume for a given segment falls below 10 units per quarter, it may indicate that the product needs improvement or that the market conditions have changed.</w:t>
      </w:r>
    </w:p>
    <w:p/>
    <w:p>
      <w:r>
        <w:t>The calculations performed during this stage involve comparing historical data against current trends. This comparison allows for the identification of areas where the product has shown growth and those that require intervention.</w:t>
      </w:r>
    </w:p>
    <w:p/>
    <w:p>
      <w:r>
        <w:t>Once the analysis is complete, the results are used to determine whether the pricing decision should be adjusted. If a segment's performance metrics meet or exceed predetermined thresholds, it may indicate that the product's pricing can be maintained or increased.</w:t>
      </w:r>
    </w:p>
    <w:p/>
    <w:p>
      <w:r>
        <w:t>However, if any segment's performance falls below these thresholds, adjustments will be necessary. In this case, the process invokes the Windchill service to retrieve additional information on the affected part number and its associated configuration attributes.</w:t>
      </w:r>
    </w:p>
    <w:p/>
    <w:p>
      <w:r>
        <w:t>The next step involves updating the target part record with the new pricing information retrieved from Windchill. These attributes include engine model, displacement liters, certification level, market application, engine type, and fuel system type.</w:t>
      </w:r>
    </w:p>
    <w:p/>
    <w:p>
      <w:r>
        <w:t>Upon completing this update operation, the process checks to ensure that all relevant data has been successfully updated and recorded in the database. If any errors occur during this process, they are reported back to the user for further investigation.</w:t>
      </w:r>
    </w:p>
    <w:p/>
    <w:p>
      <w:r>
        <w:t>Finally, once all updates have been successfully applied, the process verifies that all pricing decisions have been correctly made and recorded. The workflow then stops its operation and waits for the next triggering event or instruction from authorized personnel.</w:t>
      </w:r>
    </w:p>
    <w:p/>
    <w:p>
      <w:r>
        <w:t>In some cases, where multiple configuration options need to be evaluated against historical engine build information, additional processing may occur before moving on to the next step. However, regardless of the specific requirements at hand, every step in this process is designed with accuracy, transparency, and reliability in mind.</w:t>
      </w:r>
    </w:p>
    <w:p/>
    <w:p>
      <w:r>
        <w:t>For instance, if the evaluation reveals that none of the selected configurations meet the required criteria, or if any configuration shows a lack of historical engine build activity during the specified time frame, the workflow invokes the Windchill service to obtain further information on the part number's associated attributes.</w:t>
      </w:r>
    </w:p>
    <w:p/>
    <w:p>
      <w:r>
        <w:t>This invocation stops any potential overwriting of critical data and ensures that all relevant information is considered in making the final pricing decision. Upon receiving this information, the process then proceeds as usual by updating the target part record with new configuration attributes retrieved from Windchill.</w:t>
      </w:r>
    </w:p>
    <w:p/>
    <w:p>
      <w:r>
        <w:t>In summary, the pricing review process involves detailed steps to evaluate product performance across different customer segments, identify patterns, and make informed pricing decisions based on historical data and market trends.</w:t>
      </w:r>
    </w:p>
    <w:p/>
    <w:p>
      <w:r>
        <w:t>The evaluation is rigorous and thorough, ensuring that all relevant information is considered before making any adjustments to pricing. The use of thresholds and calculations provides a fair basis for the decision-making process, while the invocation of external services like Windchill helps ensure accuracy and reliability throughout the workflow.</w:t>
      </w:r>
    </w:p>
    <w:p/>
    <w:p>
      <w:r>
        <w:t>Ultimately, this process ensures that pricing decisions are made with confidence, based on solid data analysis and informed evaluation. Any errors or discrepancies that may arise during the process are carefully identified and addressed to maintain overall integrity of the decision-making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