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updating pricing information in our database begins with retrieving all sales transactions associated with the product during the last twelve months. This is crucial because we need to understand how the product has performed across different customer segments, which will help inform future pricing decisions.</w:t>
      </w:r>
    </w:p>
    <w:p/>
    <w:p>
      <w:r>
        <w:t>To achieve this, our system retrieves and processes data from various sources, including but not limited to customer segment information, sales channel details, and relevant product specifications. These transactions are then grouped by customer segment to ensure that performance metrics can be calculated without mixing results from unrelated customer groups.</w:t>
      </w:r>
    </w:p>
    <w:p/>
    <w:p>
      <w:r>
        <w:t>Each segment is evaluated independently using a set of predefined thresholds to determine if the pricing criteria have been met. The thresholds for this evaluation include, but are not limited to, minimum sales volume, market demand, and product availability.</w:t>
      </w:r>
    </w:p>
    <w:p/>
    <w:p>
      <w:r>
        <w:t>Once the transactions have been processed and grouped by customer segment, our system proceeds with calculating performance metrics for each group. These metrics may include, but are not limited to, average revenue per unit (ARPU), gross margin, and return on investment (ROI).</w:t>
      </w:r>
    </w:p>
    <w:p/>
    <w:p>
      <w:r>
        <w:t>The next step in our process is to calculate two separate usage measures for every configuration: one representing engine population within the most recent five years and another representing engine population between five and ten years ago. These calculations require access to historical data, which we retrieve from various sources such as Windchill or other relevant databases.</w:t>
      </w:r>
    </w:p>
    <w:p/>
    <w:p>
      <w:r>
        <w:t>Our system then compares the two measures to determine if the configuration is suitable for use in our pricing decisions. The decision-making criteria include, but are not limited to, ensuring that recent usage exceeds historical usage and selecting the configuration with the largest recent usage count.</w:t>
      </w:r>
    </w:p>
    <w:p/>
    <w:p>
      <w:r>
        <w:t>If no configuration satisfies the qualification rules, we invoke Windchill's services to ensure that a candidate configuration can be retrieved and updated with relevant data. The selected preferred configuration is then retrieved from our database, along with relevant product specifications such as engine model, displacement liters, certification level, market application, engine type, and fuel system type.</w:t>
      </w:r>
    </w:p>
    <w:p/>
    <w:p>
      <w:r>
        <w:t>Our system updates the target part using these values and the request UUID provided during the process invocation. This ensures that all necessary information is accurately reflected in our pricing models.</w:t>
      </w:r>
    </w:p>
    <w:p/>
    <w:p>
      <w:r>
        <w:t>This concludes the main stages of our update process for pricing information. Once completed, we can be confident that our database contains up-to-date information about product performance across various customer segments, enabling us to make informed pricing decisions and drive business success.</w:t>
      </w:r>
    </w:p>
    <w:p/>
    <w:p>
      <w:r>
        <w:t>Our system will stop processing once all updates have been successfully applied to our databases, ensuring that all relevant data is accurate and up-to-date.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