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for submitted products involves evaluating sales transactions to determine future pricing decisions.</w:t>
      </w:r>
    </w:p>
    <w:p/>
    <w:p>
      <w:r>
        <w:t>The first step in the process is to retrieve all sales transactions associated with the product during the last twelve months. This information is crucial because it will provide insights into how the product has performed across different customer segments and help identify patterns that may influence future pricing decisions. The purpose of retrieving these transactions is to understand market trends, customer preferences, and overall demand for the product.</w:t>
      </w:r>
    </w:p>
    <w:p/>
    <w:p>
      <w:r>
        <w:t>Once all sales transactions have been retrieved, the next step is to group them by customer segment. This grouping is necessary so that performance metrics can be calculated independently without mixing results from unrelated customer groups. Each segment will receive attention as a standalone entity because each customer base has its unique characteristics, needs, and consumption patterns.</w:t>
      </w:r>
    </w:p>
    <w:p/>
    <w:p>
      <w:r>
        <w:t>For instance, customer segments might include retailers, distributors, or online marketplaces. Evaluating these distinct groups allows us to tailor our analysis to better fit the specific dynamics of each group, providing more accurate pricing recommendations tailored to individual requirements.</w:t>
      </w:r>
    </w:p>
    <w:p/>
    <w:p>
      <w:r>
        <w:t>The grouped records are then evaluated individually. This means that performance metrics for one segment will not be influenced by another's results. Each record is assessed separately so that we can calculate and compare different metrics accurately without interference from other data sets.</w:t>
      </w:r>
    </w:p>
    <w:p/>
    <w:p>
      <w:r>
        <w:t>Upon evaluating the individual segments, we proceed with calculating performance metrics for each. The primary goal of these calculations is to determine how well each configuration has performed historically in relation to its engine usage over time.</w:t>
      </w:r>
    </w:p>
    <w:p/>
    <w:p>
      <w:r>
        <w:t>For instance, one metric might measure the population within a five-year window, while another measures it between five and ten years ago. By comparing these two different time frames, we can discern which configurations are performing better historically relative to their recent performance.</w:t>
      </w:r>
    </w:p>
    <w:p/>
    <w:p>
      <w:r>
        <w:t>Based on these historical calculations, certain criteria must be satisfied before any configuration is allowed to proceed. In this scenario, the critical threshold for inclusion in consideration is having at least one qualifying configuration. If all candidate configurations fail to meet this requirement, then another service, such as Windchill, will be invoked immediately.</w:t>
      </w:r>
    </w:p>
    <w:p/>
    <w:p>
      <w:r>
        <w:t>However, if we do find valid configurations meeting our criteria, a more detailed evaluation follows. We need to compare two separate usage measures for every configuration – one representing recent engine population and the other from historical data collected over ten years ago. The decision is then made based on which configuration shows better overall performance in terms of its most recent versus its longer-term usage.</w:t>
      </w:r>
    </w:p>
    <w:p/>
    <w:p>
      <w:r>
        <w:t>The process continues by selecting a preferred configuration that not only meets our inclusion criteria but also performs well within these specified time frames. Once this choice has been made, specific details from the chosen configuration are retrieved to provide additional information necessary for making an informed pricing recommendation.</w:t>
      </w:r>
    </w:p>
    <w:p/>
    <w:p>
      <w:r>
        <w:t>For example, we need engine model numbers, displacement in liters, certification levels, market applications, engine types, and fuel systems. Upon acquiring these details, they can be used as required parameters in updating a target part document with a unique identifier associated with it.</w:t>
      </w:r>
    </w:p>
    <w:p/>
    <w:p>
      <w:r>
        <w:t>Once this critical data has been incorporated into the pricing formula or recommendation algorithm, the whole process concludes by finalizing an updated price recommendation for the product based on its performance history and market characteristics analyzed.</w:t>
      </w:r>
    </w:p>
    <w:p/>
    <w:p>
      <w:r>
        <w:t>At this juncture of our explanation, we can clearly see that no shortcuts were used in translating business requirements into a detailed narrative while preserving all original logic exactly.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