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business process narrative begins by receiving an input request for a pricing review. This trigger event is used to initiate the workflow, which involves retrieving relevant data from the sales transaction history.</w:t>
      </w:r>
    </w:p>
    <w:p/>
    <w:p>
      <w:r>
        <w:t>To accomplish this, the system retrieves all sales transactions associated with the product in question during the last twelve months. The purpose of doing so is to gain a comprehensive understanding of how the product has performed across different customer segments and to identify patterns that may influence future pricing decisions.</w:t>
      </w:r>
    </w:p>
    <w:p/>
    <w:p>
      <w:r>
        <w:t>Once the transactions have been retrieved, the records are grouped by customer segment using a key field named 'customer_segment_id'. This grouping ensures that performance metrics can be calculated independently for each segment without mixing results from unrelated groups.</w:t>
      </w:r>
    </w:p>
    <w:p/>
    <w:p>
      <w:r>
        <w:t>For each customer segment, a series of data retrieval operations is performed. The system retrieves information on the average revenue per unit (ARPU) for the product across all sales transactions in the last twelve months. The ARPU calculation involves dividing the total revenue earned by the product by the total number of units sold during this period.</w:t>
      </w:r>
    </w:p>
    <w:p/>
    <w:p>
      <w:r>
        <w:t>The retrieved data is then used to calculate performance metrics, which are critical in determining the pricing strategy for the product. These metrics include average price per unit (APPU), sales volume, and customer satisfaction ratings. The APPU calculation involves dividing the total revenue earned by the product by the total number of units sold during the last twelve months.</w:t>
      </w:r>
    </w:p>
    <w:p/>
    <w:p>
      <w:r>
        <w:t>In addition to these metrics, the system must also evaluate the historical population of each configuration for engine-related attributes on the part. This is done using a series of SQL queries that retrieve data from the sales transaction history database.</w:t>
      </w:r>
    </w:p>
    <w:p/>
    <w:p>
      <w:r>
        <w:t>To accomplish this, the system invokes a service called 'EngineSerialNumberHistory' which retrieves the total number of engine serial numbers associated with each candidate configuration during the last ten years. The retrieved data is then used to calculate two separate usage measures for every configuration: recent usage and historical usage.</w:t>
      </w:r>
    </w:p>
    <w:p/>
    <w:p>
      <w:r>
        <w:t>The recent usage calculation involves dividing the sum of ARPU values by 5, and multiplying by 100. This represents the percentage change in APPU compared to five years ago. The historical usage calculation involves dividing the sum of ARPU values by 10, and multiplying by 100. This represents the percentage change in APPU compared to ten years ago.</w:t>
      </w:r>
    </w:p>
    <w:p/>
    <w:p>
      <w:r>
        <w:t>Once these usage measures have been calculated, the system compares them to determine which configurations meet certain qualification criteria. If a configuration does not meet these criteria, it is immediately invoked to invoke Windchill.</w:t>
      </w:r>
    </w:p>
    <w:p/>
    <w:p>
      <w:r>
        <w:t>If a configuration meets the qualification criteria, the system selects the one with the largest recent usage count and retrieves its corresponding configuration record. This record contains information on engine model, displacement liters, certification level, market application, engine type, and fuel system type.</w:t>
      </w:r>
    </w:p>
    <w:p/>
    <w:p>
      <w:r>
        <w:t>The retrieved data is then used to update the target part using those values and the request UUID. The updated part is stored in a database table that tracks pricing changes over time.</w:t>
      </w:r>
    </w:p>
    <w:p/>
    <w:p>
      <w:r>
        <w:t>Once this process has been completed successfully, the workflow stops, and no further actions are required. However, if an error occurs during any step of the process, it must be handled using error handling mechanisms built into the system to ensure that data consistency and accuracy are maintained at all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