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product submission for pricing review. The goal of this process is to evaluate the candidate configurations and determine which one should be used to populate engine-related attributes on the product.</w:t>
      </w:r>
    </w:p>
    <w:p/>
    <w:p>
      <w:r>
        <w:t>Upon receipt of the product submission, we need to retrieve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To achieve this, our system retrieves the relevant data from our database using a SQL query. The query is designed to fetch all sales transactions where the product's serial number matches the submission's serial number, and the transaction date falls within the last twelve months.</w:t>
      </w:r>
    </w:p>
    <w:p/>
    <w:p>
      <w:r>
        <w:t>Once we have retrieved these transactions, we group them by customer segment. Each segment is evaluated independently so that performance metrics can be calculated without mixing results from unrelated customer groups. This ensures that we can accurately assess how each configuration has performed in different customer segments.</w:t>
      </w:r>
    </w:p>
    <w:p/>
    <w:p>
      <w:r>
        <w:t>Next, we calculate the total number of engine serial numbers associated with each candidate configuration during the last ten years. We use a threshold of at least one qualifying configuration to ensure that our calculations are not skewed by configurations with no historical data.</w:t>
      </w:r>
    </w:p>
    <w:p/>
    <w:p>
      <w:r>
        <w:t>To perform these calculations, we invoke a separate service called the Engine Serial Number Service. This service returns the count of engine serial numbers for each configuration based on our input parameters. The calculation is performed using a combination of logical AND and OR operations.</w:t>
      </w:r>
    </w:p>
    <w:p/>
    <w:p>
      <w:r>
        <w:t>We then compare the two usage measures for every configuration: recent usage within the most recent five years and historical usage between five and ten years ago. Only configurations whose recent usage exceeds historical usage remain under consideration.</w:t>
      </w:r>
    </w:p>
    <w:p/>
    <w:p>
      <w:r>
        <w:t>If all candidate configurations return a count of zero, we invoke another service called Windchill. This ensures that our process handles any edge cases where no qualifying configurations are found.</w:t>
      </w:r>
    </w:p>
    <w:p/>
    <w:p>
      <w:r>
        <w:t>After selecting the preferred configuration based on the performance metrics, we retrieve its corresponding configuration record and obtain additional information such as engine model, displacement liters, certification level, market application, engine type, and fuel system type.</w:t>
      </w:r>
    </w:p>
    <w:p/>
    <w:p>
      <w:r>
        <w:t>We then update the target part using these values and the request UUID. This updates our database with the latest information about the product's engine-related attributes.</w:t>
      </w:r>
    </w:p>
    <w:p/>
    <w:p>
      <w:r>
        <w:t>Once all steps have been completed, our process stops, and we move on to the next submission.</w:t>
      </w:r>
    </w:p>
    <w:p/>
    <w:p>
      <w:r>
        <w:t>The entire process is designed to provide a fair evaluation of each candidate configuration based on historical performance data and usage metrics. By following this process, we ensure that we make informed decisions about which configuration should be used to populate engine-related attributes on the product.</w:t>
      </w:r>
    </w:p>
    <w:p/>
    <w:p>
      <w:r>
        <w:t>If all candidate configurations return a count of zero after comparison, another request will invoke Windchill, triggering an internal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