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business requirements into a detailed business process narrative.</w:t>
      </w:r>
    </w:p>
    <w:p/>
    <w:p>
      <w:r>
        <w:t>First, we need to retrieve all sales transactions associated with Product X during the last twelve months. This information is crucial in understanding how the product has performed across different customer segments and to identify patterns that may influence future pricing decisions. We'll be using our Sales Transaction API to fetch this data, which returns a list of transactions with relevant details such as transaction date, quantity sold, and selling price.</w:t>
      </w:r>
    </w:p>
    <w:p/>
    <w:p>
      <w:r>
        <w:t>Once we have retrieved these transactions, we need to group them by Customer Segment. This is essential because each segment has its unique performance metrics that should be calculated independently without mixing results from unrelated customer groups. We'll be using our Customer Segmentation API to perform this grouping, which returns a list of segments along with their respective transaction data.</w:t>
      </w:r>
    </w:p>
    <w:p/>
    <w:p>
      <w:r>
        <w:t>Next, we evaluate each record in the grouped transactions list to determine if it meets certain criteria. These criteria include sales volume thresholds and price elasticity measures. If any record fails to meet these conditions, it's automatically disqualified from consideration. We'll be using our Sales Analysis Algorithm to perform this evaluation, which takes into account various factors such as historical sales data, seasonality, and market trends.</w:t>
      </w:r>
    </w:p>
    <w:p/>
    <w:p>
      <w:r>
        <w:t>For the remaining records that pass the evaluation criteria, we calculate two separate usage measures: engine population within the most recent five years and engine population between five and ten years ago. We'll be using our Engine Population Algorithm to perform this calculation, which uses historical serial number data to estimate engine usage patterns. These measures are then compared to determine which configurations have the highest recent usage counts.</w:t>
      </w:r>
    </w:p>
    <w:p/>
    <w:p>
      <w:r>
        <w:t>Now that we've identified the top-performing configurations, we need to select the one with the largest recent usage count. If all candidates fail to meet the qualification rules, we invoke our Windchill service to trigger a review process. This ensures that only the most suitable configuration is chosen for further processing.</w:t>
      </w:r>
    </w:p>
    <w:p/>
    <w:p>
      <w:r>
        <w:t>After selecting the preferred configuration, we retrieve its corresponding configuration record and extract relevant details such as engine model, displacement liters, certification level, market application, engine type, and fuel system type. We'll be using our Configuration API to fetch this data, which returns a detailed record of the selected configuration.</w:t>
      </w:r>
    </w:p>
    <w:p/>
    <w:p>
      <w:r>
        <w:t>With all necessary information in hand, we update the Target Part using the extracted configuration values and request UUID. This updates the part's attributes with the latest configuration details, ensuring that it remains compliant with the latest requirements.</w:t>
      </w:r>
    </w:p>
    <w:p/>
    <w:p>
      <w:r>
        <w:t>Finally, once the update operation is complete, we trigger our Process Completion Notification service to send a notification to relevant stakeholders indicating that the pricing review for Product X has been successfully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