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initiate a pricing review for a specific product, we need to collect relevant historical sales data from our customer segments.</w:t>
      </w:r>
    </w:p>
    <w:p/>
    <w:p>
      <w:r>
        <w:t>The process begins by retrieving all sales transactions associated with the product during the last twelve months. This is crucial because it will enable us to understand how the product has performed across different customer groups and identify patterns that may influence future pricing decisions. We need to obtain specific information, including but not limited to, customer name, segment type, product code, sale date, quantity sold, unit price, and sales amount.</w:t>
      </w:r>
    </w:p>
    <w:p/>
    <w:p>
      <w:r>
        <w:t>Once we have retrieved these transactions, they are processed by grouping the records based on their respective customer segments. This step is essential because it allows us to evaluate performance metrics for each segment independently without mixing results from unrelated customer groups. We need to ensure that all relevant data is correctly categorized so that accurate calculations can be performed.</w:t>
      </w:r>
    </w:p>
    <w:p/>
    <w:p>
      <w:r>
        <w:t>Next, we analyze each segment individually. The purpose of this analysis is to calculate performance metrics such as total sales revenue, average unit price, quantity sold, and market share for each segment.</w:t>
      </w:r>
    </w:p>
    <w:p/>
    <w:p>
      <w:r>
        <w:t>After the analysis is complete, we evaluate the results of the analysis by comparing the performance metrics across all segments. If certain thresholds are met or exceeded based on these metrics, it can influence pricing decisions in specific regions or customer groups.</w:t>
      </w:r>
    </w:p>
    <w:p/>
    <w:p>
      <w:r>
        <w:t>For example, if a particular configuration has a relatively low recent population count compared to its prior population count, it may not be eligible for further review. Conversely, if an eligible configuration is selected, we will proceed with the next step of our process.</w:t>
      </w:r>
    </w:p>
    <w:p/>
    <w:p>
      <w:r>
        <w:t>When historical engine population data is available, we perform additional calculations involving these numbers. Specifically, we calculate the recent and prior population counts for each segment. The recent population count includes engines built during the last five years, while the prior count includes engines built between five and ten years ago.</w:t>
      </w:r>
    </w:p>
    <w:p/>
    <w:p>
      <w:r>
        <w:t>We only proceed with a specific configuration if its recent population exceeds its prior population. We then compare these counts across all eligible configurations to select the one that has been most recently supported by historical evidence.</w:t>
      </w:r>
    </w:p>
    <w:p/>
    <w:p>
      <w:r>
        <w:t>If we find no eligible configurations for further review, we are forced to invoke Windchill because none of our internal data can support any candidate for consideration.</w:t>
      </w:r>
    </w:p>
    <w:p/>
    <w:p>
      <w:r>
        <w:t>For an eligible configuration that we have selected, we retrieve additional relevant information such as engine model, displacement liters, certification level, market application, engine type, and fuel system type. We then use these values in conjunction with the request uuid as the update target to apply those values to our target part of interest.</w:t>
      </w:r>
    </w:p>
    <w:p/>
    <w:p>
      <w:r>
        <w:t>The rest of the process will continue by processing this new data set for any additional evaluation steps or further operations that may be triggered based upon the newly generated data.</w:t>
      </w:r>
    </w:p>
    <w:p/>
    <w:p>
      <w:r>
        <w:t>This step-by-step workflow continues until all relevant information has been evaluated and further actions have been completed, at which point we stop.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