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review the business requirements for creating alternative versions of products.</w:t>
      </w:r>
    </w:p>
    <w:p/>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information is crucial in determining the pricing strategy, as it provides a clear picture of market trends and customer behavior.</w:t>
      </w:r>
    </w:p>
    <w:p/>
    <w:p>
      <w:r>
        <w:t>Once the transactions have been retrieved, the records are grouped by customer segment. Each segment is evaluated independently so that performance metrics can be calculated without mixing results from unrelated customer groups. This approach ensures that each segment receives accurate and relevant data, allowing for more precise pricing decisions.</w:t>
      </w:r>
    </w:p>
    <w:p/>
    <w:p>
      <w:r>
        <w:t>To evaluate each segment, a set of predetermined criteria must be met. These criteria include the number of engines sold during the last ten years, as well as the number of engines built during the last five years and the previous five-year period. By analyzing these numbers, we can determine which configurations are most likely to be successful in different customer segments.</w:t>
      </w:r>
    </w:p>
    <w:p/>
    <w:p>
      <w:r>
        <w:t>If every candidate configuration has a count of zero for engine sales over the last ten years, the process stops and invokes Windchill. This is because no viable options have been identified, and it's essential to consult with experts before proceeding.</w:t>
      </w:r>
    </w:p>
    <w:p/>
    <w:p>
      <w:r>
        <w:t>On the other hand, if historical activity exists, a comparative analysis must be performed between recent and prior engine populations. By comparing these numbers, we can identify which configurations are performing well in different customer segments and make informed decisions about pricing.</w:t>
      </w:r>
    </w:p>
    <w:p/>
    <w:p>
      <w:r>
        <w:t>Among the remaining configurations, the candidate with the highest recent five-year population is selected as the preferred configuration. This ensures that the most successful configurations are used when populating engine attributes, resulting in optimized pricing strategies for each product variant.</w:t>
      </w:r>
    </w:p>
    <w:p/>
    <w:p>
      <w:r>
        <w:t>Once a preferred configuration is identified, its configuration details must be retrieved and updated to the target part using the uuid supplied in the request. The specific fields that need to be updated include engine model, displacement liters, certification level, market application, engine type, and fuel system type. These values are critical in determining the pricing strategy for each product variant.</w:t>
      </w:r>
    </w:p>
    <w:p/>
    <w:p>
      <w:r>
        <w:t>The process continues until all product variants have been evaluated and priced accordingly. At this point, the system can stop processing, having successfully implemented alternative versions of the same requirements while preserving the original logic exactly.</w:t>
      </w:r>
    </w:p>
    <w:p/>
    <w:p>
      <w:r>
        <w:t>During this process, various updates occur to reflect changes in market conditions and customer behavior. These updates ensure that pricing strategies remain relevant and effective, allowing companies to stay competitive in an ever-changing market landscape.</w:t>
      </w:r>
    </w:p>
    <w:p/>
    <w:p>
      <w:r>
        <w:t>Insert operations also play a crucial role in this process, as they enable new product variants to be added to the system. This can include updating existing configurations or introducing entirely new ones. By providing an efficient insert mechanism, the system allows for rapid adaptation to changing market conditions and customer needs.</w:t>
      </w:r>
    </w:p>
    <w:p/>
    <w:p>
      <w:r>
        <w:t>In summary, this process involves retrieving sales transactions associated with products during a specified period, grouping them by customer segment, evaluating each configuration based on predetermined criteria, selecting the most successful candidate, updating configuration details, and invoking Windchill if no viable options are available. The system continues to update pricing strategies as market conditions change and new product variants are introduced.</w:t>
      </w:r>
    </w:p>
    <w:p/>
    <w:p>
      <w:r>
        <w:t>Throughout this process, decision paths are carefully evaluated to ensure that all possible scenarios are considered. This involves analyzing different combinations of engine sales numbers over the last ten years, comparing recent and prior populations, and selecting the configuration with the highest successful population. By taking a systematic approach, we can confidently determine which pricing strategy is most suitable for each product variant.</w:t>
      </w:r>
    </w:p>
    <w:p/>
    <w:p>
      <w:r>
        <w:t>Once the preferred configuration has been identified, service invocations occur to retrieve configuration details and update them in the system. These updates ensure that pricing strategies remain accurate and effective, enabling companies to make informed decisions about their products and stay competitive in the market.</w:t>
      </w:r>
    </w:p>
    <w:p/>
    <w:p>
      <w:r>
        <w:t>In conclusion, this process is designed to create alternative versions of product variants while preserving the original logic exactly. By evaluating sales transactions over time, selecting successful configurations, and updating pricing strategies accordingly, we can implement efficient and cost-effective solutions that meet changing customer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