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determining pricing alternatives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When a set of sales data is received, it triggers an update operation on our database, updating the records of interest by adding new information from the transactional data. This ensures that the most recent data is available for analysis, providing a clear picture of how the product has performed in different customer segments during the last twelve months.</w:t>
      </w:r>
    </w:p>
    <w:p/>
    <w:p>
      <w:r>
        <w:t>Once the sales transactions have been retrieved and updated, we group these records by customer segment to evaluate performance metrics independently. Each segment is evaluated separately so that results from unrelated customer groups are not mixed. By doing this, we can accurately identify patterns and trends in how the product has performed across different segments.</w:t>
      </w:r>
    </w:p>
    <w:p/>
    <w:p>
      <w:r>
        <w:t>Next, we perform a series of calculations based on these grouped transactions. We calculate the total number of engines associated with each configuration during the last ten years. This calculation gives us insight into which configurations have been most successful in terms of engine production over time.</w:t>
      </w:r>
    </w:p>
    <w:p/>
    <w:p>
      <w:r>
        <w:t>If every candidate configuration has a count of zero, the process stops and invokes another service to retrieve additional information from Windchill. If historical activity exists for any configuration, we proceed with a comparative analysis between recent and prior engine populations. This step ensures that we can accurately compare performance metrics across different configurations over time.</w:t>
      </w:r>
    </w:p>
    <w:p/>
    <w:p>
      <w:r>
        <w:t>For each configuration, we then determine the number of engines built during the last five years and the previous five-year period. This allows us to identify which configurations have been most successful in terms of recent engine production versus historical production.</w:t>
      </w:r>
    </w:p>
    <w:p/>
    <w:p>
      <w:r>
        <w:t>To further refine our analysis, we exclude any configurations where the recent population is not greater than prior population. We're essentially looking for configurations that have shown an increase in engine production over time.</w:t>
      </w:r>
    </w:p>
    <w:p/>
    <w:p>
      <w:r>
        <w:t>Among the remaining configurations, we identify the candidate with the highest recent five-year population. This step is crucial as it allows us to determine which configuration has been most successful in terms of engine production over the last five years.</w:t>
      </w:r>
    </w:p>
    <w:p/>
    <w:p>
      <w:r>
        <w:t>If no configuration meets this threshold, we invoke Windchill as a service. This ensures that our process accurately accounts for scenarios where there may be no variation or improvement in performance across different configurations.</w:t>
      </w:r>
    </w:p>
    <w:p/>
    <w:p>
      <w:r>
        <w:t>Once a preferred configuration is identified, we trigger another update operation to retrieve its configuration details. Using the uuid supplied in the request, we update the target part with engine model, displacement liters, certification level, market application, engine type, and fuel system type.</w:t>
      </w:r>
    </w:p>
    <w:p/>
    <w:p>
      <w:r>
        <w:t>This completes our process for determining pricing alternatives. Our analysis has allowed us to identify the most successful configuration across different customer segments, providing a solid foundation for future pricing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