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for conducting a pricing review of submitted products involves several steps that require careful evaluation to ensure accurate calculations and informed decisions.</w:t>
      </w:r>
    </w:p>
    <w:p/>
    <w:p>
      <w:r>
        <w:t>First, we need to retrieve all relevant sales transactions associated with the product during the last twelve months. This is crucial in understanding how the product has performed across different customer segments and identifying patterns that may influence future pricing decisions. To accomplish this task, we will send a request to our database management system (DBMS) that retrieves the necessary data for us.</w:t>
      </w:r>
    </w:p>
    <w:p/>
    <w:p>
      <w:r>
        <w:t>Upon receiving the retrieved transactions, we group them by customer segment to ensure that performance metrics are calculated independently without mixing results from unrelated customer groups. This approach allows us to evaluate each segment separately and derive meaningful conclusions about its performance.</w:t>
      </w:r>
    </w:p>
    <w:p/>
    <w:p>
      <w:r>
        <w:t>Next, we evaluate each record in our grouped segments to identify any discrepancies or anomalies that may affect pricing decisions. We perform these evaluations based on a set of predetermined criteria, which includes specific thresholds for certain parameters, such as revenue growth and customer satisfaction.</w:t>
      </w:r>
    </w:p>
    <w:p/>
    <w:p>
      <w:r>
        <w:t>To carry out this evaluation process, we use a combination of pre-defined formulas and algorithms to analyze the data and make informed decisions. These calculations involve various field names, including price per unit, quantity sold, and total revenue generated. We also consider additional factors like market trends, competition, and product lifecycle stages when making our assessments.</w:t>
      </w:r>
    </w:p>
    <w:p/>
    <w:p>
      <w:r>
        <w:t>Once we've completed the evaluation process, we determine whether any updates are required to ensure that pricing rules and regulations are being strictly adhered to. If necessary, we update the relevant records in our database management system to reflect any changes or adjustments made during this review.</w:t>
      </w:r>
    </w:p>
    <w:p/>
    <w:p>
      <w:r>
        <w:t>Additionally, if there are multiple candidate configurations available for automatic verification, we need to map them to our configuration repository and compare their parameters, such as engine model and displacement liters. We also verify that these configurations meet specific conditions related to certification level, market application, engine type, and fuel system type.</w:t>
      </w:r>
    </w:p>
    <w:p/>
    <w:p>
      <w:r>
        <w:t>If the comparisons succeed, we proceed with selecting the preferred configuration based on predefined rules. In some cases, we may need to trigger another service, like the Criteria 3 service, if our automatic selection fails for any reason.</w:t>
      </w:r>
    </w:p>
    <w:p/>
    <w:p>
      <w:r>
        <w:t>Our evaluation process continues by analyzing these outcomes and taking further actions as necessary. We periodically review and refine our evaluations to ensure accuracy, completeness, and compliance with regulatory requirements.</w:t>
      </w:r>
    </w:p>
    <w:p/>
    <w:p>
      <w:r>
        <w:t>Throughout this entire process, we are committed to maintaining the highest standards of integrity and fairness in our pricing decisions, always prioritizing the interests of our valued customers while ensuring we operate within the bounds of applicable laws and regulations.</w:t>
      </w:r>
    </w:p>
    <w:p/>
    <w:p>
      <w:r>
        <w:t>We stop processing once all records have been evaluated and any necessary updates or adjustments have been made.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