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with retrieving all sales transactions associated with a specific product during the last twelve months. The purpose of this retrieval is to understand how the product has performed across different customer segments and to identify patterns that may influence future pricing decisions.</w:t>
      </w:r>
    </w:p>
    <w:p/>
    <w:p>
      <w:r>
        <w:t>This step involves accessing the transaction database, querying for the relevant records using the product ID and time period specified in the input request, and storing the retrieved data in a temporary holding area. The retrieved transactions include sales figures, revenue, profit margins, and other key performance indicators.</w:t>
      </w:r>
    </w:p>
    <w:p/>
    <w:p>
      <w:r>
        <w:t>Once all relevant transactions have been retrieved, the next step is to group these records by customer segment. Each segment is evaluated independently so that performance metrics can be calculated without mixing results from unrelated customer groups.</w:t>
      </w:r>
    </w:p>
    <w:p/>
    <w:p>
      <w:r>
        <w:t>For each customer segment, calculations are performed on the aggregated sales figures, revenue, profit margins, and other key performance indicators. These calculations help identify trends, patterns, and anomalies in sales performance across different segments.</w:t>
      </w:r>
    </w:p>
    <w:p/>
    <w:p>
      <w:r>
        <w:t>The grouped transactions are then sorted by sales volume in descending order to prioritize the most profitable customers. This helps ensure that pricing decisions focus on the highest-performing products and customer groups.</w:t>
      </w:r>
    </w:p>
    <w:p/>
    <w:p>
      <w:r>
        <w:t>Next, the process evaluates each candidate configuration based on predefined thresholds and conditions. The evaluation criteria include engine model, displacement liters, certification level, market application, engine type, and fuel system type.</w:t>
      </w:r>
    </w:p>
    <w:p/>
    <w:p>
      <w:r>
        <w:t>The first step is to retrieve the corresponding configuration record for each design configuration number identified in the input request by matching the design configuration number to the configuration code. From each configuration record, obtain the engine model and displacement liters values.</w:t>
      </w:r>
    </w:p>
    <w:p/>
    <w:p>
      <w:r>
        <w:t>These attributes are used to determine whether the candidate configurations represent essentially the same engine family. A comparison of engine models and displacement liters values is performed to ensure consistency across all three candidates.</w:t>
      </w:r>
    </w:p>
    <w:p/>
    <w:p>
      <w:r>
        <w:t>If any discrepancies are detected in the engine models or displacement liters values, the processing stops immediately. In this situation, the Criteria 3 service must be invoked, and the three candidate design configuration numbers must be supplied to that service for additional evaluation.</w:t>
      </w:r>
    </w:p>
    <w:p/>
    <w:p>
      <w:r>
        <w:t>However, if the evaluations successfully complete without any discrepancies, a series of further calculations are performed to determine whether the top-ranked candidate configurations are sufficiently similar to allow automatic attribute assignment.</w:t>
      </w:r>
    </w:p>
    <w:p/>
    <w:p>
      <w:r>
        <w:t>A comparison is made between the displacement liters values associated with the three configurations. The difference between the largest displacement value and the smallest displacement value is calculated to assess consistency across all candidates.</w:t>
      </w:r>
    </w:p>
    <w:p/>
    <w:p>
      <w:r>
        <w:t>If this calculation indicates that the displacement difference is less than four liters, the configurations are considered sufficiently similar, and automatic processing may continue. Conversely, if either the engine models are not identical or the displacement difference is four liters or greater, automatic processing should stop.</w:t>
      </w:r>
    </w:p>
    <w:p/>
    <w:p>
      <w:r>
        <w:t>In the latter scenario, the decision to invoke another service, such as Criteria 3, is based on predefined thresholds and conditions to ensure that the top-ranked candidate configurations remain consistent with business requirements and industry standards.</w:t>
      </w:r>
    </w:p>
    <w:p/>
    <w:p>
      <w:r>
        <w:t>When the consistency checks are successfully passed and the displacements are within the acceptable range, the first-ranked configuration is selected as the target part. Retrieve the complete configuration details associated with this configuration from the database.</w:t>
      </w:r>
    </w:p>
    <w:p/>
    <w:p>
      <w:r>
        <w:t>From the selected configuration, obtain engine model, displacement liters, certification level, market application, engine type, and fuel system type. These values will be used to update the target part identified by the request UUID using these configuration attributes.</w:t>
      </w:r>
    </w:p>
    <w:p/>
    <w:p>
      <w:r>
        <w:t>The final step in the process is to verify that the updated configuration meets all business requirements and industry standards. If this verification is successful, processing stops, and the updated configuration is applied to the database for further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