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in a detailed business process narrative:</w:t>
      </w:r>
    </w:p>
    <w:p/>
    <w:p>
      <w:r>
        <w:t>Our pricing review process requires retrieving all sales transactions associated with a specific product during the last twelve months. The goal is to understand how the product has performed across different customer segments and identify patterns that may influence future pricing decisions.</w:t>
      </w:r>
    </w:p>
    <w:p/>
    <w:p>
      <w:r>
        <w:t>The first step is to retrieve these sales transactions from our database. This involves sending an SQL query to our database management system (DBMS) to fetch all relevant transaction records, including date, quantity sold, revenue generated, and customer segment information. The purpose of retrieving these transactions is to create a comprehensive view of the product's performance across various customer groups.</w:t>
      </w:r>
    </w:p>
    <w:p/>
    <w:p>
      <w:r>
        <w:t>Once we have retrieved the necessary sales data, we need to group the transactions by customer segment. This involves applying conditional logic to separate the records based on their corresponding customer segment identifiers. For example, if a customer segment ID falls within range A, the transaction should be grouped under Segment 1; if it falls within range B, it should be grouped under Segment 2, and so on.</w:t>
      </w:r>
    </w:p>
    <w:p/>
    <w:p>
      <w:r>
        <w:t>Upon grouping, we need to evaluate each record independently without mixing results from unrelated customer groups. This ensures that performance metrics are calculated accurately for each segment without any potential bias or interference. To achieve this, we use a set of predefined thresholds (e.g., total revenue, number of transactions) to categorize the records. Any record with values outside these thresholds will not be included in the calculations.</w:t>
      </w:r>
    </w:p>
    <w:p/>
    <w:p>
      <w:r>
        <w:t>Next, we need to calculate performance metrics for each customer segment. This involves applying complex arithmetic operations based on the grouped transaction data. Specifically, we use formulas such as ((total revenue / total quantity sold) * 100) to generate a sales efficiency ratio, which is then used to evaluate each segment's performance relative to others.</w:t>
      </w:r>
    </w:p>
    <w:p/>
    <w:p>
      <w:r>
        <w:t>Once we have completed the calculations, we can identify patterns and trends that may influence future pricing decisions. These insights will help us update our pricing strategy accordingly. For instance, if one segment consistently outperforms others in terms of revenue growth or customer loyalty, we may need to reassess our pricing structure for that particular group.</w:t>
      </w:r>
    </w:p>
    <w:p/>
    <w:p>
      <w:r>
        <w:t>Now, let's assume the top three highest-ranked design configuration numbers are already identified by prior processing. We'll evaluate these configurations independently using similar logic applied earlier. Each configuration record is retrieved based on its corresponding design configuration number, and we extract key attributes such as engine model and displacement liters values from each record.</w:t>
      </w:r>
    </w:p>
    <w:p/>
    <w:p>
      <w:r>
        <w:t>We then compare the extracted attributes across all three candidate configurations to determine if they represent essentially the same engine family. Automatic processing may continue only if all three configurations share a common engine model. If not, our algorithm stops evaluating further.</w:t>
      </w:r>
    </w:p>
    <w:p/>
    <w:p>
      <w:r>
        <w:t>Additionally, we perform an additional check by comparing the difference between the largest and smallest displacement values among the top three candidates. Specifically, we calculate ((largest displacement value - smallest displacement value) / 4). If this difference is less than 0, it indicates the configurations are sufficiently similar for automatic attribute assignment to proceed.</w:t>
      </w:r>
    </w:p>
    <w:p/>
    <w:p>
      <w:r>
        <w:t>However, if either the engine models differ or the calculated difference exceeds 4, our algorithm invokes an additional decision-making service (Criteria 3) with input parameters of the three candidate design configuration numbers. This secondary evaluation assesses whether these top-ranked configurations represent cohesive groups based on their characteristics and attributes.</w:t>
      </w:r>
    </w:p>
    <w:p/>
    <w:p>
      <w:r>
        <w:t>Upon successful completion of all checks, we update the target part corresponding to the specified request UUID using the selected configuration attributes, including engine model, displacement liters, certification level, market application, engine type, and fuel system type. This final update will incorporate the new pricing strategy for the product in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