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 evaluate alternative pricing configurations for a given product, we need to review the sales transactions associated with that product over the last twelve months. This involves retrieving specific transaction data to assess how the product has performed across various customer segments.</w:t>
      </w:r>
    </w:p>
    <w:p/>
    <w:p>
      <w:r>
        <w:t>We'll start by pulling all relevant sales transactions from our database, focusing on those related to the specified product. The goal of this step is to gather insights into the product's performance in different market scenarios and identify potential patterns that could influence future pricing decisions. These transaction records will be extracted based on a combination of criteria, including date range, customer segments, and product identifiers.</w:t>
      </w:r>
    </w:p>
    <w:p/>
    <w:p>
      <w:r>
        <w:t>Once all transactions have been retrieved, we need to organize them by customer segment to ensure that our analysis is focused on each group individually. This allows us to calculate performance metrics without mixing the results from different customer groups, which would provide more accurate insights into the product's overall performance and pricing considerations.</w:t>
      </w:r>
    </w:p>
    <w:p/>
    <w:p>
      <w:r>
        <w:t>Next, we'll evaluate each segment independently to determine how the product has performed in terms of sales volume, revenue, profit margins, and other key performance indicators (KPIs). These evaluations will help us understand whether the product meets its intended targets for each customer segment. We'll also examine any deviations or trends that may have emerged during this period.</w:t>
      </w:r>
    </w:p>
    <w:p/>
    <w:p>
      <w:r>
        <w:t>To calculate KPIs, such as average order value, conversion rates, and return rates, we'll apply specific formulas to the transaction data extracted in the initial step. For example, the average order value might be calculated by summing up all transaction values divided by the total number of transactions for a particular segment.</w:t>
      </w:r>
    </w:p>
    <w:p/>
    <w:p>
      <w:r>
        <w:t>For each customer segment, we'll compare the performance metrics against predetermined thresholds or targets set by the business stakeholders. These thresholds may include daily, weekly, monthly, or year-over-year targets based on factors like revenue growth, profit margins, and market share. If a segment exceeds all its targets, it is considered to be performing well. Conversely, if it falls short of any target due to underperformance, further investigation is warranted.</w:t>
      </w:r>
    </w:p>
    <w:p/>
    <w:p>
      <w:r>
        <w:t>Based on the performance evaluation results for each customer segment, we'll proceed with either approving or rejecting the pricing configuration based on specific business rules and decisions. These may include considerations such as historical sales trends, product life cycle stages, market conditions, competition levels, and other external factors influencing the product's performance.</w:t>
      </w:r>
    </w:p>
    <w:p/>
    <w:p>
      <w:r>
        <w:t>If an alternative pricing configuration is deemed acceptable by our analysis and evaluation process, we'll then update records in the system to reflect these findings. This includes making changes to configuration settings based on whether all business rules are satisfied or if adjustments need to be made before final approval.</w:t>
      </w:r>
    </w:p>
    <w:p/>
    <w:p>
      <w:r>
        <w:t>Next, we'll create the necessary documentation for future stakeholders to view historical performance data from previous periods and analyze trends over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